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C263" w14:textId="77777777" w:rsidR="0029357C" w:rsidRPr="00CC1243" w:rsidRDefault="008B390B" w:rsidP="0029357C">
      <w:pPr>
        <w:sectPr w:rsidR="0029357C" w:rsidRPr="00CC1243"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6685C2CA" wp14:editId="6685C2CB">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5C300"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685C301" w14:textId="77777777" w:rsidR="003A4FA4" w:rsidRPr="00822BA3" w:rsidRDefault="003A4FA4" w:rsidP="00DA71BF">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5C5AE9">
                              <w:rPr>
                                <w:rFonts w:ascii="Helvetica" w:hAnsi="Helvetica"/>
                                <w:b w:val="0"/>
                                <w:color w:val="00559B"/>
                                <w:sz w:val="52"/>
                                <w:szCs w:val="52"/>
                              </w:rPr>
                              <w:t xml:space="preserve">Access and </w:t>
                            </w:r>
                            <w:r>
                              <w:rPr>
                                <w:rFonts w:ascii="Helvetica" w:hAnsi="Helvetica"/>
                                <w:b w:val="0"/>
                                <w:color w:val="00559B"/>
                                <w:sz w:val="52"/>
                                <w:szCs w:val="52"/>
                              </w:rPr>
                              <w:t>Interconnect</w:t>
                            </w:r>
                            <w:r w:rsidR="005C5AE9">
                              <w:rPr>
                                <w:rFonts w:ascii="Helvetica" w:hAnsi="Helvetica"/>
                                <w:b w:val="0"/>
                                <w:color w:val="00559B"/>
                                <w:sz w:val="52"/>
                                <w:szCs w:val="52"/>
                              </w:rPr>
                              <w:t xml:space="preserve">ion Offer </w:t>
                            </w:r>
                            <w:r>
                              <w:rPr>
                                <w:rFonts w:ascii="Helvetica" w:hAnsi="Helvetica"/>
                                <w:b w:val="0"/>
                                <w:color w:val="00559B"/>
                                <w:sz w:val="52"/>
                                <w:szCs w:val="52"/>
                              </w:rPr>
                              <w:t xml:space="preserve"> </w:t>
                            </w:r>
                            <w:r>
                              <w:rPr>
                                <w:rFonts w:ascii="Helvetica" w:hAnsi="Helvetica"/>
                                <w:b w:val="0"/>
                                <w:color w:val="00559B"/>
                                <w:sz w:val="40"/>
                                <w:szCs w:val="40"/>
                              </w:rPr>
                              <w:t>Sub Annex C0</w:t>
                            </w:r>
                            <w:r w:rsidR="00DA71BF">
                              <w:rPr>
                                <w:rFonts w:ascii="Helvetica" w:hAnsi="Helvetica"/>
                                <w:b w:val="0"/>
                                <w:color w:val="00559B"/>
                                <w:sz w:val="40"/>
                                <w:szCs w:val="40"/>
                              </w:rPr>
                              <w:t>6</w:t>
                            </w:r>
                            <w:r w:rsidRPr="00B04545">
                              <w:rPr>
                                <w:rFonts w:ascii="Helvetica" w:hAnsi="Helvetica"/>
                                <w:b w:val="0"/>
                                <w:color w:val="00559B"/>
                                <w:sz w:val="40"/>
                                <w:szCs w:val="40"/>
                              </w:rPr>
                              <w:t xml:space="preserve"> </w:t>
                            </w:r>
                            <w:r w:rsidR="005D3715">
                              <w:rPr>
                                <w:rFonts w:ascii="Helvetica" w:hAnsi="Helvetica"/>
                                <w:b w:val="0"/>
                                <w:color w:val="00559B"/>
                                <w:sz w:val="40"/>
                                <w:szCs w:val="40"/>
                              </w:rPr>
                              <w:t>Special Services</w:t>
                            </w:r>
                            <w:r w:rsidR="0015344C">
                              <w:rPr>
                                <w:rFonts w:ascii="Helvetica" w:hAnsi="Helvetica"/>
                                <w:b w:val="0"/>
                                <w:color w:val="00559B"/>
                                <w:sz w:val="40"/>
                                <w:szCs w:val="40"/>
                              </w:rPr>
                              <w:t xml:space="preserve"> Fixed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C2CA" id="_x0000_t202" coordsize="21600,21600" o:spt="202" path="m,l,21600r21600,l21600,xe">
                <v:stroke joinstyle="miter"/>
                <v:path gradientshapeok="t" o:connecttype="rect"/>
              </v:shapetype>
              <v:shape id="Text Box 7" o:spid="_x0000_s1026" type="#_x0000_t202" style="position:absolute;margin-left:40.9pt;margin-top:307pt;width:525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" o:allowoverlap="f" filled="f" stroked="f">
                <v:textbox inset="0,0,0,0">
                  <w:txbxContent>
                    <w:p w14:paraId="6685C300"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6685C301" w14:textId="77777777" w:rsidR="003A4FA4" w:rsidRPr="00822BA3" w:rsidRDefault="003A4FA4" w:rsidP="00DA71BF">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5C5AE9">
                        <w:rPr>
                          <w:rFonts w:ascii="Helvetica" w:hAnsi="Helvetica"/>
                          <w:b w:val="0"/>
                          <w:color w:val="00559B"/>
                          <w:sz w:val="52"/>
                          <w:szCs w:val="52"/>
                        </w:rPr>
                        <w:t xml:space="preserve">Access and </w:t>
                      </w:r>
                      <w:r>
                        <w:rPr>
                          <w:rFonts w:ascii="Helvetica" w:hAnsi="Helvetica"/>
                          <w:b w:val="0"/>
                          <w:color w:val="00559B"/>
                          <w:sz w:val="52"/>
                          <w:szCs w:val="52"/>
                        </w:rPr>
                        <w:t>Interconnect</w:t>
                      </w:r>
                      <w:r w:rsidR="005C5AE9">
                        <w:rPr>
                          <w:rFonts w:ascii="Helvetica" w:hAnsi="Helvetica"/>
                          <w:b w:val="0"/>
                          <w:color w:val="00559B"/>
                          <w:sz w:val="52"/>
                          <w:szCs w:val="52"/>
                        </w:rPr>
                        <w:t xml:space="preserve">ion Offer </w:t>
                      </w:r>
                      <w:r>
                        <w:rPr>
                          <w:rFonts w:ascii="Helvetica" w:hAnsi="Helvetica"/>
                          <w:b w:val="0"/>
                          <w:color w:val="00559B"/>
                          <w:sz w:val="52"/>
                          <w:szCs w:val="52"/>
                        </w:rPr>
                        <w:t xml:space="preserve"> </w:t>
                      </w:r>
                      <w:r>
                        <w:rPr>
                          <w:rFonts w:ascii="Helvetica" w:hAnsi="Helvetica"/>
                          <w:b w:val="0"/>
                          <w:color w:val="00559B"/>
                          <w:sz w:val="40"/>
                          <w:szCs w:val="40"/>
                        </w:rPr>
                        <w:t>Sub Annex C0</w:t>
                      </w:r>
                      <w:r w:rsidR="00DA71BF">
                        <w:rPr>
                          <w:rFonts w:ascii="Helvetica" w:hAnsi="Helvetica"/>
                          <w:b w:val="0"/>
                          <w:color w:val="00559B"/>
                          <w:sz w:val="40"/>
                          <w:szCs w:val="40"/>
                        </w:rPr>
                        <w:t>6</w:t>
                      </w:r>
                      <w:r w:rsidRPr="00B04545">
                        <w:rPr>
                          <w:rFonts w:ascii="Helvetica" w:hAnsi="Helvetica"/>
                          <w:b w:val="0"/>
                          <w:color w:val="00559B"/>
                          <w:sz w:val="40"/>
                          <w:szCs w:val="40"/>
                        </w:rPr>
                        <w:t xml:space="preserve"> </w:t>
                      </w:r>
                      <w:r w:rsidR="005D3715">
                        <w:rPr>
                          <w:rFonts w:ascii="Helvetica" w:hAnsi="Helvetica"/>
                          <w:b w:val="0"/>
                          <w:color w:val="00559B"/>
                          <w:sz w:val="40"/>
                          <w:szCs w:val="40"/>
                        </w:rPr>
                        <w:t>Special Services</w:t>
                      </w:r>
                      <w:r w:rsidR="0015344C">
                        <w:rPr>
                          <w:rFonts w:ascii="Helvetica" w:hAnsi="Helvetica"/>
                          <w:b w:val="0"/>
                          <w:color w:val="00559B"/>
                          <w:sz w:val="40"/>
                          <w:szCs w:val="40"/>
                        </w:rPr>
                        <w:t xml:space="preserve"> Fixed</w:t>
                      </w:r>
                    </w:p>
                  </w:txbxContent>
                </v:textbox>
                <w10:wrap type="tight" anchorx="page" anchory="page"/>
              </v:shape>
            </w:pict>
          </mc:Fallback>
        </mc:AlternateContent>
      </w:r>
    </w:p>
    <w:p w14:paraId="6685C264" w14:textId="77777777" w:rsidR="003F41F3" w:rsidRPr="00CC1243" w:rsidRDefault="003F41F3" w:rsidP="00D94B83">
      <w:pPr>
        <w:spacing w:after="0" w:line="240" w:lineRule="auto"/>
        <w:rPr>
          <w:color w:val="4A93D1"/>
          <w:sz w:val="32"/>
          <w:szCs w:val="32"/>
          <w:u w:val="single"/>
        </w:rPr>
      </w:pPr>
      <w:r w:rsidRPr="00CC1243">
        <w:rPr>
          <w:color w:val="4A93D1"/>
          <w:sz w:val="32"/>
          <w:szCs w:val="32"/>
          <w:u w:val="single"/>
        </w:rPr>
        <w:lastRenderedPageBreak/>
        <w:t xml:space="preserve">Table of </w:t>
      </w:r>
      <w:r w:rsidR="00D94B83" w:rsidRPr="00CC1243">
        <w:rPr>
          <w:color w:val="4A93D1"/>
          <w:sz w:val="32"/>
          <w:szCs w:val="32"/>
          <w:u w:val="single"/>
        </w:rPr>
        <w:t>C</w:t>
      </w:r>
      <w:r w:rsidRPr="00CC1243">
        <w:rPr>
          <w:color w:val="4A93D1"/>
          <w:sz w:val="32"/>
          <w:szCs w:val="32"/>
          <w:u w:val="single"/>
        </w:rPr>
        <w:t>ontent</w:t>
      </w:r>
      <w:r w:rsidR="00D94B83" w:rsidRPr="00CC1243">
        <w:rPr>
          <w:color w:val="4A93D1"/>
          <w:sz w:val="32"/>
          <w:szCs w:val="32"/>
          <w:u w:val="single"/>
        </w:rPr>
        <w:t>s</w:t>
      </w:r>
    </w:p>
    <w:p w14:paraId="6685C265" w14:textId="77777777" w:rsidR="003F41F3" w:rsidRPr="00CC1243" w:rsidRDefault="003F41F3">
      <w:pPr>
        <w:spacing w:after="0" w:line="240" w:lineRule="auto"/>
        <w:rPr>
          <w:rFonts w:eastAsia="Times"/>
          <w:kern w:val="32"/>
          <w:sz w:val="24"/>
        </w:rPr>
      </w:pPr>
    </w:p>
    <w:p w14:paraId="3930E636" w14:textId="43C44600" w:rsidR="00A65EC7" w:rsidRDefault="00020FBC">
      <w:pPr>
        <w:pStyle w:val="TOC1"/>
        <w:rPr>
          <w:rFonts w:asciiTheme="minorHAnsi" w:eastAsiaTheme="minorEastAsia" w:hAnsiTheme="minorHAnsi" w:cstheme="minorBidi"/>
          <w:b w:val="0"/>
          <w:color w:val="auto"/>
          <w:kern w:val="2"/>
          <w:szCs w:val="24"/>
          <w14:ligatures w14:val="standardContextual"/>
        </w:rPr>
      </w:pPr>
      <w:r w:rsidRPr="00CC1243">
        <w:rPr>
          <w:b w:val="0"/>
          <w:bCs/>
        </w:rPr>
        <w:fldChar w:fldCharType="begin"/>
      </w:r>
      <w:r w:rsidR="0029357C" w:rsidRPr="00CC1243">
        <w:rPr>
          <w:b w:val="0"/>
          <w:bCs/>
        </w:rPr>
        <w:instrText xml:space="preserve"> TOC \o "1-3" \h \z \u </w:instrText>
      </w:r>
      <w:r w:rsidRPr="00CC1243">
        <w:rPr>
          <w:b w:val="0"/>
          <w:bCs/>
        </w:rPr>
        <w:fldChar w:fldCharType="separate"/>
      </w:r>
      <w:hyperlink w:anchor="_Toc212325662" w:history="1">
        <w:r w:rsidR="00A65EC7" w:rsidRPr="005E31CE">
          <w:rPr>
            <w:rStyle w:val="Hyperlink"/>
          </w:rPr>
          <w:t>1</w:t>
        </w:r>
        <w:r w:rsidR="00A65EC7">
          <w:rPr>
            <w:rFonts w:asciiTheme="minorHAnsi" w:eastAsiaTheme="minorEastAsia" w:hAnsiTheme="minorHAnsi" w:cstheme="minorBidi"/>
            <w:b w:val="0"/>
            <w:color w:val="auto"/>
            <w:kern w:val="2"/>
            <w:szCs w:val="24"/>
            <w14:ligatures w14:val="standardContextual"/>
          </w:rPr>
          <w:tab/>
        </w:r>
        <w:r w:rsidR="00A65EC7" w:rsidRPr="005E31CE">
          <w:rPr>
            <w:rStyle w:val="Hyperlink"/>
          </w:rPr>
          <w:t>General</w:t>
        </w:r>
        <w:r w:rsidR="00A65EC7">
          <w:rPr>
            <w:webHidden/>
          </w:rPr>
          <w:tab/>
        </w:r>
        <w:r w:rsidR="00A65EC7">
          <w:rPr>
            <w:webHidden/>
          </w:rPr>
          <w:fldChar w:fldCharType="begin"/>
        </w:r>
        <w:r w:rsidR="00A65EC7">
          <w:rPr>
            <w:webHidden/>
          </w:rPr>
          <w:instrText xml:space="preserve"> PAGEREF _Toc212325662 \h </w:instrText>
        </w:r>
        <w:r w:rsidR="00A65EC7">
          <w:rPr>
            <w:webHidden/>
          </w:rPr>
        </w:r>
        <w:r w:rsidR="00A65EC7">
          <w:rPr>
            <w:webHidden/>
          </w:rPr>
          <w:fldChar w:fldCharType="separate"/>
        </w:r>
        <w:r w:rsidR="006A72F0">
          <w:rPr>
            <w:webHidden/>
          </w:rPr>
          <w:t>3</w:t>
        </w:r>
        <w:r w:rsidR="00A65EC7">
          <w:rPr>
            <w:webHidden/>
          </w:rPr>
          <w:fldChar w:fldCharType="end"/>
        </w:r>
      </w:hyperlink>
    </w:p>
    <w:p w14:paraId="23FC8275" w14:textId="6F567931"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3" w:history="1">
        <w:r w:rsidRPr="005E31CE">
          <w:rPr>
            <w:rStyle w:val="Hyperlink"/>
          </w:rPr>
          <w:t>2</w:t>
        </w:r>
        <w:r>
          <w:rPr>
            <w:rFonts w:asciiTheme="minorHAnsi" w:eastAsiaTheme="minorEastAsia" w:hAnsiTheme="minorHAnsi" w:cstheme="minorBidi"/>
            <w:b w:val="0"/>
            <w:color w:val="auto"/>
            <w:kern w:val="2"/>
            <w:szCs w:val="24"/>
            <w14:ligatures w14:val="standardContextual"/>
          </w:rPr>
          <w:tab/>
        </w:r>
        <w:r w:rsidRPr="005E31CE">
          <w:rPr>
            <w:rStyle w:val="Hyperlink"/>
          </w:rPr>
          <w:t>Calls to Emergency Services</w:t>
        </w:r>
        <w:r>
          <w:rPr>
            <w:webHidden/>
          </w:rPr>
          <w:tab/>
        </w:r>
        <w:r>
          <w:rPr>
            <w:webHidden/>
          </w:rPr>
          <w:fldChar w:fldCharType="begin"/>
        </w:r>
        <w:r>
          <w:rPr>
            <w:webHidden/>
          </w:rPr>
          <w:instrText xml:space="preserve"> PAGEREF _Toc212325663 \h </w:instrText>
        </w:r>
        <w:r>
          <w:rPr>
            <w:webHidden/>
          </w:rPr>
        </w:r>
        <w:r>
          <w:rPr>
            <w:webHidden/>
          </w:rPr>
          <w:fldChar w:fldCharType="separate"/>
        </w:r>
        <w:r w:rsidR="006A72F0">
          <w:rPr>
            <w:webHidden/>
          </w:rPr>
          <w:t>4</w:t>
        </w:r>
        <w:r>
          <w:rPr>
            <w:webHidden/>
          </w:rPr>
          <w:fldChar w:fldCharType="end"/>
        </w:r>
      </w:hyperlink>
    </w:p>
    <w:p w14:paraId="29257801" w14:textId="7BAD3FDE"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4" w:history="1">
        <w:r w:rsidRPr="005E31CE">
          <w:rPr>
            <w:rStyle w:val="Hyperlink"/>
          </w:rPr>
          <w:t>3</w:t>
        </w:r>
        <w:r>
          <w:rPr>
            <w:rFonts w:asciiTheme="minorHAnsi" w:eastAsiaTheme="minorEastAsia" w:hAnsiTheme="minorHAnsi" w:cstheme="minorBidi"/>
            <w:b w:val="0"/>
            <w:color w:val="auto"/>
            <w:kern w:val="2"/>
            <w:szCs w:val="24"/>
            <w14:ligatures w14:val="standardContextual"/>
          </w:rPr>
          <w:tab/>
        </w:r>
        <w:r w:rsidRPr="005E31CE">
          <w:rPr>
            <w:rStyle w:val="Hyperlink"/>
          </w:rPr>
          <w:t>Calls to Directory Enquiry Services</w:t>
        </w:r>
        <w:r>
          <w:rPr>
            <w:webHidden/>
          </w:rPr>
          <w:tab/>
        </w:r>
        <w:r>
          <w:rPr>
            <w:webHidden/>
          </w:rPr>
          <w:fldChar w:fldCharType="begin"/>
        </w:r>
        <w:r>
          <w:rPr>
            <w:webHidden/>
          </w:rPr>
          <w:instrText xml:space="preserve"> PAGEREF _Toc212325664 \h </w:instrText>
        </w:r>
        <w:r>
          <w:rPr>
            <w:webHidden/>
          </w:rPr>
        </w:r>
        <w:r>
          <w:rPr>
            <w:webHidden/>
          </w:rPr>
          <w:fldChar w:fldCharType="separate"/>
        </w:r>
        <w:r w:rsidR="006A72F0">
          <w:rPr>
            <w:webHidden/>
          </w:rPr>
          <w:t>5</w:t>
        </w:r>
        <w:r>
          <w:rPr>
            <w:webHidden/>
          </w:rPr>
          <w:fldChar w:fldCharType="end"/>
        </w:r>
      </w:hyperlink>
    </w:p>
    <w:p w14:paraId="1D798C5E" w14:textId="5D5E3F5A"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5" w:history="1">
        <w:r w:rsidRPr="005E31CE">
          <w:rPr>
            <w:rStyle w:val="Hyperlink"/>
          </w:rPr>
          <w:t>4</w:t>
        </w:r>
        <w:r>
          <w:rPr>
            <w:rFonts w:asciiTheme="minorHAnsi" w:eastAsiaTheme="minorEastAsia" w:hAnsiTheme="minorHAnsi" w:cstheme="minorBidi"/>
            <w:b w:val="0"/>
            <w:color w:val="auto"/>
            <w:kern w:val="2"/>
            <w:szCs w:val="24"/>
            <w14:ligatures w14:val="standardContextual"/>
          </w:rPr>
          <w:tab/>
        </w:r>
        <w:r w:rsidRPr="005E31CE">
          <w:rPr>
            <w:rStyle w:val="Hyperlink"/>
          </w:rPr>
          <w:t>Calls to Local Time Enquiry Service</w:t>
        </w:r>
        <w:r>
          <w:rPr>
            <w:webHidden/>
          </w:rPr>
          <w:tab/>
        </w:r>
        <w:r>
          <w:rPr>
            <w:webHidden/>
          </w:rPr>
          <w:fldChar w:fldCharType="begin"/>
        </w:r>
        <w:r>
          <w:rPr>
            <w:webHidden/>
          </w:rPr>
          <w:instrText xml:space="preserve"> PAGEREF _Toc212325665 \h </w:instrText>
        </w:r>
        <w:r>
          <w:rPr>
            <w:webHidden/>
          </w:rPr>
        </w:r>
        <w:r>
          <w:rPr>
            <w:webHidden/>
          </w:rPr>
          <w:fldChar w:fldCharType="separate"/>
        </w:r>
        <w:r w:rsidR="006A72F0">
          <w:rPr>
            <w:webHidden/>
          </w:rPr>
          <w:t>6</w:t>
        </w:r>
        <w:r>
          <w:rPr>
            <w:webHidden/>
          </w:rPr>
          <w:fldChar w:fldCharType="end"/>
        </w:r>
      </w:hyperlink>
    </w:p>
    <w:p w14:paraId="5B0AA8FF" w14:textId="41DC243A"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6" w:history="1">
        <w:r w:rsidRPr="005E31CE">
          <w:rPr>
            <w:rStyle w:val="Hyperlink"/>
          </w:rPr>
          <w:t>5</w:t>
        </w:r>
        <w:r>
          <w:rPr>
            <w:rFonts w:asciiTheme="minorHAnsi" w:eastAsiaTheme="minorEastAsia" w:hAnsiTheme="minorHAnsi" w:cstheme="minorBidi"/>
            <w:b w:val="0"/>
            <w:color w:val="auto"/>
            <w:kern w:val="2"/>
            <w:szCs w:val="24"/>
            <w14:ligatures w14:val="standardContextual"/>
          </w:rPr>
          <w:tab/>
        </w:r>
        <w:r w:rsidRPr="005E31CE">
          <w:rPr>
            <w:rStyle w:val="Hyperlink"/>
          </w:rPr>
          <w:t>Calls to Omantel Service Center</w:t>
        </w:r>
        <w:r>
          <w:rPr>
            <w:webHidden/>
          </w:rPr>
          <w:tab/>
        </w:r>
        <w:r>
          <w:rPr>
            <w:webHidden/>
          </w:rPr>
          <w:fldChar w:fldCharType="begin"/>
        </w:r>
        <w:r>
          <w:rPr>
            <w:webHidden/>
          </w:rPr>
          <w:instrText xml:space="preserve"> PAGEREF _Toc212325666 \h </w:instrText>
        </w:r>
        <w:r>
          <w:rPr>
            <w:webHidden/>
          </w:rPr>
        </w:r>
        <w:r>
          <w:rPr>
            <w:webHidden/>
          </w:rPr>
          <w:fldChar w:fldCharType="separate"/>
        </w:r>
        <w:r w:rsidR="006A72F0">
          <w:rPr>
            <w:webHidden/>
          </w:rPr>
          <w:t>7</w:t>
        </w:r>
        <w:r>
          <w:rPr>
            <w:webHidden/>
          </w:rPr>
          <w:fldChar w:fldCharType="end"/>
        </w:r>
      </w:hyperlink>
    </w:p>
    <w:p w14:paraId="430216FA" w14:textId="3A0E234C"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7" w:history="1">
        <w:r w:rsidRPr="005E31CE">
          <w:rPr>
            <w:rStyle w:val="Hyperlink"/>
          </w:rPr>
          <w:t>6</w:t>
        </w:r>
        <w:r>
          <w:rPr>
            <w:rFonts w:asciiTheme="minorHAnsi" w:eastAsiaTheme="minorEastAsia" w:hAnsiTheme="minorHAnsi" w:cstheme="minorBidi"/>
            <w:b w:val="0"/>
            <w:color w:val="auto"/>
            <w:kern w:val="2"/>
            <w:szCs w:val="24"/>
            <w14:ligatures w14:val="standardContextual"/>
          </w:rPr>
          <w:tab/>
        </w:r>
        <w:r w:rsidRPr="005E31CE">
          <w:rPr>
            <w:rStyle w:val="Hyperlink"/>
          </w:rPr>
          <w:t>Ordering and Delivery</w:t>
        </w:r>
        <w:r>
          <w:rPr>
            <w:webHidden/>
          </w:rPr>
          <w:tab/>
        </w:r>
        <w:r>
          <w:rPr>
            <w:webHidden/>
          </w:rPr>
          <w:fldChar w:fldCharType="begin"/>
        </w:r>
        <w:r>
          <w:rPr>
            <w:webHidden/>
          </w:rPr>
          <w:instrText xml:space="preserve"> PAGEREF _Toc212325667 \h </w:instrText>
        </w:r>
        <w:r>
          <w:rPr>
            <w:webHidden/>
          </w:rPr>
        </w:r>
        <w:r>
          <w:rPr>
            <w:webHidden/>
          </w:rPr>
          <w:fldChar w:fldCharType="separate"/>
        </w:r>
        <w:r w:rsidR="006A72F0">
          <w:rPr>
            <w:webHidden/>
          </w:rPr>
          <w:t>8</w:t>
        </w:r>
        <w:r>
          <w:rPr>
            <w:webHidden/>
          </w:rPr>
          <w:fldChar w:fldCharType="end"/>
        </w:r>
      </w:hyperlink>
    </w:p>
    <w:p w14:paraId="42385494" w14:textId="2A5B7A72"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8" w:history="1">
        <w:r w:rsidRPr="005E31CE">
          <w:rPr>
            <w:rStyle w:val="Hyperlink"/>
          </w:rPr>
          <w:t>7</w:t>
        </w:r>
        <w:r>
          <w:rPr>
            <w:rFonts w:asciiTheme="minorHAnsi" w:eastAsiaTheme="minorEastAsia" w:hAnsiTheme="minorHAnsi" w:cstheme="minorBidi"/>
            <w:b w:val="0"/>
            <w:color w:val="auto"/>
            <w:kern w:val="2"/>
            <w:szCs w:val="24"/>
            <w14:ligatures w14:val="standardContextual"/>
          </w:rPr>
          <w:tab/>
        </w:r>
        <w:r w:rsidRPr="005E31CE">
          <w:rPr>
            <w:rStyle w:val="Hyperlink"/>
          </w:rPr>
          <w:t>Prices</w:t>
        </w:r>
        <w:r>
          <w:rPr>
            <w:webHidden/>
          </w:rPr>
          <w:tab/>
        </w:r>
        <w:r>
          <w:rPr>
            <w:webHidden/>
          </w:rPr>
          <w:fldChar w:fldCharType="begin"/>
        </w:r>
        <w:r>
          <w:rPr>
            <w:webHidden/>
          </w:rPr>
          <w:instrText xml:space="preserve"> PAGEREF _Toc212325668 \h </w:instrText>
        </w:r>
        <w:r>
          <w:rPr>
            <w:webHidden/>
          </w:rPr>
        </w:r>
        <w:r>
          <w:rPr>
            <w:webHidden/>
          </w:rPr>
          <w:fldChar w:fldCharType="separate"/>
        </w:r>
        <w:r w:rsidR="006A72F0">
          <w:rPr>
            <w:webHidden/>
          </w:rPr>
          <w:t>9</w:t>
        </w:r>
        <w:r>
          <w:rPr>
            <w:webHidden/>
          </w:rPr>
          <w:fldChar w:fldCharType="end"/>
        </w:r>
      </w:hyperlink>
    </w:p>
    <w:p w14:paraId="061190DA" w14:textId="37918992"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69" w:history="1">
        <w:r w:rsidRPr="005E31CE">
          <w:rPr>
            <w:rStyle w:val="Hyperlink"/>
          </w:rPr>
          <w:t>8</w:t>
        </w:r>
        <w:r>
          <w:rPr>
            <w:rFonts w:asciiTheme="minorHAnsi" w:eastAsiaTheme="minorEastAsia" w:hAnsiTheme="minorHAnsi" w:cstheme="minorBidi"/>
            <w:b w:val="0"/>
            <w:color w:val="auto"/>
            <w:kern w:val="2"/>
            <w:szCs w:val="24"/>
            <w14:ligatures w14:val="standardContextual"/>
          </w:rPr>
          <w:tab/>
        </w:r>
        <w:r w:rsidRPr="005E31CE">
          <w:rPr>
            <w:rStyle w:val="Hyperlink"/>
          </w:rPr>
          <w:t>Fault Management</w:t>
        </w:r>
        <w:r>
          <w:rPr>
            <w:webHidden/>
          </w:rPr>
          <w:tab/>
        </w:r>
        <w:r>
          <w:rPr>
            <w:webHidden/>
          </w:rPr>
          <w:fldChar w:fldCharType="begin"/>
        </w:r>
        <w:r>
          <w:rPr>
            <w:webHidden/>
          </w:rPr>
          <w:instrText xml:space="preserve"> PAGEREF _Toc212325669 \h </w:instrText>
        </w:r>
        <w:r>
          <w:rPr>
            <w:webHidden/>
          </w:rPr>
        </w:r>
        <w:r>
          <w:rPr>
            <w:webHidden/>
          </w:rPr>
          <w:fldChar w:fldCharType="separate"/>
        </w:r>
        <w:r w:rsidR="006A72F0">
          <w:rPr>
            <w:webHidden/>
          </w:rPr>
          <w:t>10</w:t>
        </w:r>
        <w:r>
          <w:rPr>
            <w:webHidden/>
          </w:rPr>
          <w:fldChar w:fldCharType="end"/>
        </w:r>
      </w:hyperlink>
    </w:p>
    <w:p w14:paraId="6AEEC1ED" w14:textId="6747DE20" w:rsidR="00A65EC7" w:rsidRDefault="00A65EC7">
      <w:pPr>
        <w:pStyle w:val="TOC1"/>
        <w:rPr>
          <w:rFonts w:asciiTheme="minorHAnsi" w:eastAsiaTheme="minorEastAsia" w:hAnsiTheme="minorHAnsi" w:cstheme="minorBidi"/>
          <w:b w:val="0"/>
          <w:color w:val="auto"/>
          <w:kern w:val="2"/>
          <w:szCs w:val="24"/>
          <w14:ligatures w14:val="standardContextual"/>
        </w:rPr>
      </w:pPr>
      <w:hyperlink w:anchor="_Toc212325670" w:history="1">
        <w:r w:rsidRPr="005E31CE">
          <w:rPr>
            <w:rStyle w:val="Hyperlink"/>
          </w:rPr>
          <w:t>9</w:t>
        </w:r>
        <w:r>
          <w:rPr>
            <w:rFonts w:asciiTheme="minorHAnsi" w:eastAsiaTheme="minorEastAsia" w:hAnsiTheme="minorHAnsi" w:cstheme="minorBidi"/>
            <w:b w:val="0"/>
            <w:color w:val="auto"/>
            <w:kern w:val="2"/>
            <w:szCs w:val="24"/>
            <w14:ligatures w14:val="standardContextual"/>
          </w:rPr>
          <w:tab/>
        </w:r>
        <w:r w:rsidRPr="005E31CE">
          <w:rPr>
            <w:rStyle w:val="Hyperlink"/>
          </w:rPr>
          <w:t>Forecasts</w:t>
        </w:r>
        <w:r>
          <w:rPr>
            <w:webHidden/>
          </w:rPr>
          <w:tab/>
        </w:r>
        <w:r>
          <w:rPr>
            <w:webHidden/>
          </w:rPr>
          <w:fldChar w:fldCharType="begin"/>
        </w:r>
        <w:r>
          <w:rPr>
            <w:webHidden/>
          </w:rPr>
          <w:instrText xml:space="preserve"> PAGEREF _Toc212325670 \h </w:instrText>
        </w:r>
        <w:r>
          <w:rPr>
            <w:webHidden/>
          </w:rPr>
        </w:r>
        <w:r>
          <w:rPr>
            <w:webHidden/>
          </w:rPr>
          <w:fldChar w:fldCharType="separate"/>
        </w:r>
        <w:r w:rsidR="006A72F0">
          <w:rPr>
            <w:webHidden/>
          </w:rPr>
          <w:t>11</w:t>
        </w:r>
        <w:r>
          <w:rPr>
            <w:webHidden/>
          </w:rPr>
          <w:fldChar w:fldCharType="end"/>
        </w:r>
      </w:hyperlink>
    </w:p>
    <w:p w14:paraId="6685C26F" w14:textId="77777777" w:rsidR="004C3B4C" w:rsidRPr="00CC1243" w:rsidRDefault="00020FBC" w:rsidP="004C3B4C">
      <w:pPr>
        <w:rPr>
          <w:bCs/>
          <w:color w:val="000000"/>
        </w:rPr>
      </w:pPr>
      <w:r w:rsidRPr="00CC1243">
        <w:rPr>
          <w:bCs/>
          <w:color w:val="000000"/>
        </w:rPr>
        <w:fldChar w:fldCharType="end"/>
      </w:r>
    </w:p>
    <w:p w14:paraId="6685C270" w14:textId="77777777" w:rsidR="0029357C" w:rsidRPr="00CC1243" w:rsidRDefault="0029357C" w:rsidP="004C3B4C">
      <w:pPr>
        <w:pStyle w:val="IndexTOC"/>
        <w:tabs>
          <w:tab w:val="right" w:pos="8805"/>
          <w:tab w:val="right" w:leader="dot" w:pos="9000"/>
        </w:tabs>
        <w:spacing w:after="120"/>
        <w:ind w:right="1886"/>
        <w:rPr>
          <w:color w:val="000000"/>
        </w:rPr>
      </w:pPr>
    </w:p>
    <w:p w14:paraId="6685C271" w14:textId="77777777" w:rsidR="00047CF7" w:rsidRPr="00CC1243" w:rsidRDefault="00047CF7" w:rsidP="0029357C">
      <w:pPr>
        <w:pStyle w:val="IndexTOC"/>
        <w:tabs>
          <w:tab w:val="right" w:pos="8805"/>
          <w:tab w:val="right" w:leader="dot" w:pos="9000"/>
        </w:tabs>
        <w:spacing w:after="120"/>
        <w:ind w:right="1882"/>
        <w:rPr>
          <w:color w:val="000000"/>
        </w:rPr>
      </w:pPr>
    </w:p>
    <w:p w14:paraId="6685C272" w14:textId="77777777" w:rsidR="00EA310F" w:rsidRPr="00CC1243" w:rsidRDefault="00EA310F" w:rsidP="002542BD">
      <w:pPr>
        <w:pStyle w:val="Heading1"/>
      </w:pPr>
      <w:bookmarkStart w:id="0" w:name="_Toc212325662"/>
      <w:r w:rsidRPr="00CC1243">
        <w:lastRenderedPageBreak/>
        <w:t>General</w:t>
      </w:r>
      <w:bookmarkEnd w:id="0"/>
      <w:r w:rsidRPr="00CC1243">
        <w:t xml:space="preserve"> </w:t>
      </w:r>
    </w:p>
    <w:p w14:paraId="6685C273" w14:textId="77777777" w:rsidR="000B5DDE" w:rsidRPr="00CC1243" w:rsidRDefault="0033787D" w:rsidP="000B5DDE">
      <w:pPr>
        <w:pStyle w:val="ListParagraph"/>
      </w:pPr>
      <w:r w:rsidRPr="00CC1243">
        <w:t xml:space="preserve">This Sub </w:t>
      </w:r>
      <w:r w:rsidR="005D3715" w:rsidRPr="00CC1243">
        <w:t xml:space="preserve">Annex </w:t>
      </w:r>
      <w:r w:rsidRPr="00CC1243">
        <w:t xml:space="preserve">sets </w:t>
      </w:r>
      <w:r w:rsidR="005D3715" w:rsidRPr="00CC1243">
        <w:t xml:space="preserve">out the </w:t>
      </w:r>
      <w:r w:rsidR="00231695" w:rsidRPr="00CC1243">
        <w:t>Service</w:t>
      </w:r>
      <w:r w:rsidR="005D3715" w:rsidRPr="00CC1243">
        <w:t>s</w:t>
      </w:r>
    </w:p>
    <w:p w14:paraId="6685C274" w14:textId="77777777" w:rsidR="000B5DDE" w:rsidRPr="00CC1243" w:rsidRDefault="000B5DDE" w:rsidP="000B5DDE">
      <w:pPr>
        <w:pStyle w:val="ListParagraph2"/>
      </w:pPr>
      <w:r w:rsidRPr="00CC1243">
        <w:t xml:space="preserve">Calls to Emergency </w:t>
      </w:r>
      <w:r w:rsidR="00231695" w:rsidRPr="00CC1243">
        <w:t>Service</w:t>
      </w:r>
      <w:r w:rsidRPr="00CC1243">
        <w:t>s</w:t>
      </w:r>
    </w:p>
    <w:p w14:paraId="6685C275" w14:textId="77777777" w:rsidR="000B5DDE" w:rsidRPr="00CC1243" w:rsidRDefault="000B5DDE" w:rsidP="000B5DDE">
      <w:pPr>
        <w:pStyle w:val="ListParagraph2"/>
      </w:pPr>
      <w:r w:rsidRPr="00CC1243">
        <w:t xml:space="preserve">Calls to Directory </w:t>
      </w:r>
      <w:r w:rsidR="00231695" w:rsidRPr="00CC1243">
        <w:t>Service</w:t>
      </w:r>
      <w:r w:rsidRPr="00CC1243">
        <w:t xml:space="preserve">s. </w:t>
      </w:r>
    </w:p>
    <w:p w14:paraId="6685C276" w14:textId="77777777" w:rsidR="005C5AE9" w:rsidRPr="00CC1243" w:rsidRDefault="005C5AE9" w:rsidP="000B5DDE">
      <w:pPr>
        <w:pStyle w:val="ListParagraph2"/>
      </w:pPr>
      <w:r w:rsidRPr="00CC1243">
        <w:t>Calls to Local Time Enquiry Service</w:t>
      </w:r>
    </w:p>
    <w:p w14:paraId="6685C277" w14:textId="77777777" w:rsidR="005C5AE9" w:rsidRPr="00CC1243" w:rsidRDefault="005C5AE9" w:rsidP="000B5DDE">
      <w:pPr>
        <w:pStyle w:val="ListParagraph2"/>
      </w:pPr>
      <w:r w:rsidRPr="00CC1243">
        <w:t xml:space="preserve">Calls </w:t>
      </w:r>
      <w:r w:rsidR="00312F17" w:rsidRPr="00CC1243">
        <w:t>to Omantel Service Center</w:t>
      </w:r>
    </w:p>
    <w:p w14:paraId="6685C278" w14:textId="77777777" w:rsidR="000B5DDE" w:rsidRPr="00CC1243" w:rsidRDefault="008F4E6C" w:rsidP="005D3715">
      <w:pPr>
        <w:pStyle w:val="ListParagraph"/>
      </w:pPr>
      <w:r w:rsidRPr="00CC1243">
        <w:t>The Requesting Party</w:t>
      </w:r>
      <w:r w:rsidR="000B5DDE" w:rsidRPr="00CC1243">
        <w:t xml:space="preserve"> shall </w:t>
      </w:r>
      <w:proofErr w:type="gramStart"/>
      <w:r w:rsidR="000B5DDE" w:rsidRPr="00CC1243">
        <w:t>request for</w:t>
      </w:r>
      <w:proofErr w:type="gramEnd"/>
      <w:r w:rsidR="000B5DDE" w:rsidRPr="00CC1243">
        <w:t xml:space="preserve"> Fixed Ancillary Interconnect </w:t>
      </w:r>
      <w:r w:rsidR="00231695" w:rsidRPr="00CC1243">
        <w:t>Service</w:t>
      </w:r>
      <w:r w:rsidR="000B5DDE" w:rsidRPr="00CC1243">
        <w:t xml:space="preserve">s to be able to convey calls between Omantel and </w:t>
      </w:r>
      <w:r w:rsidRPr="00CC1243">
        <w:t>the Requesting Party</w:t>
      </w:r>
      <w:r w:rsidR="000B5DDE" w:rsidRPr="00CC1243">
        <w:t xml:space="preserve">. </w:t>
      </w:r>
    </w:p>
    <w:p w14:paraId="6685C279" w14:textId="77777777" w:rsidR="000B5DDE" w:rsidRPr="00CC1243" w:rsidRDefault="000B5DDE" w:rsidP="00E13E22">
      <w:pPr>
        <w:pStyle w:val="ListParagraph"/>
      </w:pPr>
      <w:r w:rsidRPr="00CC1243">
        <w:t xml:space="preserve">The Parties shall agree in advance </w:t>
      </w:r>
      <w:r w:rsidR="00E13E22" w:rsidRPr="00CC1243">
        <w:t xml:space="preserve">on </w:t>
      </w:r>
      <w:r w:rsidRPr="00CC1243">
        <w:t>all necessary technical requirements, including Call set-up and clear-down sequences, for the conveyance of Calls pursuant to this Sub Annex.</w:t>
      </w:r>
      <w:r w:rsidR="00912450">
        <w:t xml:space="preserve"> </w:t>
      </w:r>
      <w:r w:rsidR="00912450" w:rsidRPr="00912450">
        <w:t xml:space="preserve">Where a RAIO agreement exists between the Parties no further requirements for a </w:t>
      </w:r>
      <w:proofErr w:type="gramStart"/>
      <w:r w:rsidR="00912450" w:rsidRPr="00912450">
        <w:t>specification documents</w:t>
      </w:r>
      <w:proofErr w:type="gramEnd"/>
      <w:r w:rsidR="00912450" w:rsidRPr="00912450">
        <w:t xml:space="preserve"> shall exist.</w:t>
      </w:r>
    </w:p>
    <w:p w14:paraId="6685C27A" w14:textId="77777777" w:rsidR="000B5DDE" w:rsidRPr="00CC1243" w:rsidRDefault="000B5DDE" w:rsidP="000B5DDE">
      <w:pPr>
        <w:pStyle w:val="ListParagraph"/>
      </w:pPr>
      <w:r w:rsidRPr="00CC1243">
        <w:t xml:space="preserve">The Parties shall convey Calls during those periods of time and at the same standard and quality of </w:t>
      </w:r>
      <w:r w:rsidR="00231695" w:rsidRPr="00CC1243">
        <w:t>Service</w:t>
      </w:r>
      <w:r w:rsidRPr="00CC1243">
        <w:t xml:space="preserve"> as Parties convey similar Calls to their </w:t>
      </w:r>
      <w:r w:rsidR="00E13E22" w:rsidRPr="00CC1243">
        <w:t>C</w:t>
      </w:r>
      <w:r w:rsidRPr="00CC1243">
        <w:t>ustomers.</w:t>
      </w:r>
    </w:p>
    <w:p w14:paraId="6685C27B" w14:textId="77777777" w:rsidR="000B5DDE" w:rsidRPr="00CC1243" w:rsidRDefault="000B5DDE" w:rsidP="000B5DDE">
      <w:pPr>
        <w:pStyle w:val="ListParagraph"/>
      </w:pPr>
      <w:r w:rsidRPr="00CC1243">
        <w:t xml:space="preserve">Omantel shall be under no obligation to convey Transit Calls to destinations that are not available to Omantel Customers. </w:t>
      </w:r>
    </w:p>
    <w:p w14:paraId="6685C27C" w14:textId="77777777" w:rsidR="00886876" w:rsidRDefault="00886876" w:rsidP="00886876">
      <w:pPr>
        <w:pStyle w:val="ListParagraph"/>
      </w:pPr>
      <w:r w:rsidRPr="00CC1243">
        <w:t>Each Party shall correct faults that occur in its Network which affect the conveyance of Calls in accordance with such Party’s normal engineering practices. For the avoidance of doubt, neither Party warrants that its Network is, or will be, free from faults.</w:t>
      </w:r>
    </w:p>
    <w:p w14:paraId="6685C27D" w14:textId="77777777" w:rsidR="002170A3" w:rsidRPr="00CC1243" w:rsidRDefault="002170A3" w:rsidP="00886876">
      <w:pPr>
        <w:pStyle w:val="ListParagraph"/>
      </w:pPr>
      <w:r>
        <w:t>The minimum contract period will be one (1) year.</w:t>
      </w:r>
    </w:p>
    <w:p w14:paraId="6685C27E" w14:textId="77777777" w:rsidR="00257AE9" w:rsidRPr="00CC1243" w:rsidRDefault="00257AE9" w:rsidP="004614E4">
      <w:pPr>
        <w:pStyle w:val="ListParagraph"/>
        <w:numPr>
          <w:ilvl w:val="0"/>
          <w:numId w:val="0"/>
        </w:numPr>
        <w:ind w:left="864"/>
      </w:pPr>
    </w:p>
    <w:p w14:paraId="6685C27F" w14:textId="77777777" w:rsidR="00257AE9" w:rsidRPr="00CC1243" w:rsidRDefault="00257AE9" w:rsidP="00257AE9">
      <w:pPr>
        <w:pStyle w:val="ListParagraph"/>
        <w:numPr>
          <w:ilvl w:val="0"/>
          <w:numId w:val="0"/>
        </w:numPr>
        <w:ind w:left="864"/>
      </w:pPr>
    </w:p>
    <w:p w14:paraId="6685C280" w14:textId="77777777" w:rsidR="00257AE9" w:rsidRPr="00CC1243" w:rsidRDefault="00DB2663" w:rsidP="00DB2663">
      <w:pPr>
        <w:pStyle w:val="Heading1"/>
      </w:pPr>
      <w:bookmarkStart w:id="1" w:name="_Toc212325663"/>
      <w:r w:rsidRPr="00CC1243">
        <w:lastRenderedPageBreak/>
        <w:t xml:space="preserve">Calls to </w:t>
      </w:r>
      <w:r w:rsidR="005D3715" w:rsidRPr="00CC1243">
        <w:t xml:space="preserve">Emergency </w:t>
      </w:r>
      <w:r w:rsidR="00231695" w:rsidRPr="00CC1243">
        <w:t>Service</w:t>
      </w:r>
      <w:r w:rsidR="005D3715" w:rsidRPr="00CC1243">
        <w:t>s</w:t>
      </w:r>
      <w:bookmarkEnd w:id="1"/>
      <w:r w:rsidR="00B06762" w:rsidRPr="00CC1243">
        <w:t xml:space="preserve"> </w:t>
      </w:r>
    </w:p>
    <w:p w14:paraId="6685C281" w14:textId="77777777" w:rsidR="00BA028E" w:rsidRPr="00CC1243" w:rsidRDefault="00BA028E" w:rsidP="005F145C">
      <w:pPr>
        <w:pStyle w:val="ListParagraph"/>
      </w:pPr>
      <w:r w:rsidRPr="00CC1243">
        <w:t xml:space="preserve">Emergency </w:t>
      </w:r>
      <w:r w:rsidR="00231695" w:rsidRPr="00CC1243">
        <w:t>Service</w:t>
      </w:r>
      <w:r w:rsidRPr="00CC1243">
        <w:t>s Implemented on Omantel Network</w:t>
      </w:r>
      <w:r w:rsidR="00E75C3A" w:rsidRPr="00CC1243">
        <w:t>.</w:t>
      </w:r>
    </w:p>
    <w:p w14:paraId="6685C282" w14:textId="77777777" w:rsidR="00DB2663" w:rsidRPr="00CC1243" w:rsidRDefault="00DB2663" w:rsidP="005F145C">
      <w:pPr>
        <w:pStyle w:val="ListParagraph"/>
      </w:pPr>
      <w:r w:rsidRPr="00CC1243">
        <w:t>Omantel offer</w:t>
      </w:r>
      <w:r w:rsidR="00E75C3A" w:rsidRPr="00CC1243">
        <w:t>s</w:t>
      </w:r>
      <w:r w:rsidRPr="00CC1243">
        <w:t xml:space="preserve"> </w:t>
      </w:r>
      <w:r w:rsidR="008F4E6C" w:rsidRPr="00CC1243">
        <w:t>the Requesting Party</w:t>
      </w:r>
      <w:r w:rsidRPr="00CC1243">
        <w:t xml:space="preserve"> </w:t>
      </w:r>
      <w:proofErr w:type="gramStart"/>
      <w:r w:rsidRPr="00CC1243">
        <w:t xml:space="preserve">the </w:t>
      </w:r>
      <w:r w:rsidR="005F145C" w:rsidRPr="00CC1243">
        <w:t>Call</w:t>
      </w:r>
      <w:proofErr w:type="gramEnd"/>
      <w:r w:rsidR="005F145C" w:rsidRPr="00CC1243">
        <w:t xml:space="preserve"> to Emergency </w:t>
      </w:r>
      <w:r w:rsidR="00231695" w:rsidRPr="00CC1243">
        <w:t>Service</w:t>
      </w:r>
      <w:r w:rsidR="005F145C" w:rsidRPr="00CC1243">
        <w:t xml:space="preserve">s. The </w:t>
      </w:r>
      <w:r w:rsidR="00231695" w:rsidRPr="00CC1243">
        <w:t>Service</w:t>
      </w:r>
      <w:r w:rsidR="005F145C" w:rsidRPr="00CC1243">
        <w:t xml:space="preserve"> allows </w:t>
      </w:r>
      <w:r w:rsidR="008F4E6C" w:rsidRPr="00CC1243">
        <w:t>the Requesting Party</w:t>
      </w:r>
      <w:r w:rsidR="005F145C" w:rsidRPr="00CC1243">
        <w:t xml:space="preserve"> to </w:t>
      </w:r>
      <w:r w:rsidRPr="00CC1243">
        <w:t>convey</w:t>
      </w:r>
      <w:r w:rsidR="005F145C" w:rsidRPr="00CC1243">
        <w:t xml:space="preserve"> calls from </w:t>
      </w:r>
      <w:r w:rsidR="008F4E6C" w:rsidRPr="00CC1243">
        <w:t>the Requesting Party</w:t>
      </w:r>
      <w:r w:rsidR="005F145C" w:rsidRPr="00CC1243">
        <w:t xml:space="preserve"> Network to Omantel Network through the Point of Interconnection to be delivered to an emergency call handling center number implemented on Omantel Network.</w:t>
      </w:r>
    </w:p>
    <w:p w14:paraId="6685C283" w14:textId="77777777" w:rsidR="00257AE9" w:rsidRPr="00CC1243" w:rsidRDefault="005D3715" w:rsidP="005D3715">
      <w:pPr>
        <w:pStyle w:val="ListParagraph"/>
      </w:pPr>
      <w:r w:rsidRPr="00CC1243">
        <w:t xml:space="preserve">Omantel shall offer access to the following emergency </w:t>
      </w:r>
      <w:r w:rsidR="00231695" w:rsidRPr="00CC1243">
        <w:t>Service</w:t>
      </w:r>
      <w:r w:rsidRPr="00CC1243">
        <w:t xml:space="preserve">s </w:t>
      </w:r>
      <w:proofErr w:type="gramStart"/>
      <w:r w:rsidRPr="00CC1243">
        <w:t>through the use of</w:t>
      </w:r>
      <w:proofErr w:type="gramEnd"/>
      <w:r w:rsidRPr="00CC1243">
        <w:t xml:space="preserve"> the 4-digit number set out below in respect to each of these emergency </w:t>
      </w:r>
      <w:r w:rsidR="00231695" w:rsidRPr="00CC1243">
        <w:t>Service</w:t>
      </w:r>
      <w:r w:rsidRPr="00CC1243">
        <w:t>s:</w:t>
      </w:r>
    </w:p>
    <w:tbl>
      <w:tblPr>
        <w:tblStyle w:val="TableGridLight1"/>
        <w:tblW w:w="8830" w:type="dxa"/>
        <w:tblInd w:w="885" w:type="dxa"/>
        <w:tblLayout w:type="fixed"/>
        <w:tblLook w:val="04A0" w:firstRow="1" w:lastRow="0" w:firstColumn="1" w:lastColumn="0" w:noHBand="0" w:noVBand="1"/>
      </w:tblPr>
      <w:tblGrid>
        <w:gridCol w:w="640"/>
        <w:gridCol w:w="4230"/>
        <w:gridCol w:w="3960"/>
      </w:tblGrid>
      <w:tr w:rsidR="004614E4" w:rsidRPr="00CC1243" w14:paraId="6685C287" w14:textId="77777777" w:rsidTr="005D3715">
        <w:trPr>
          <w:trHeight w:val="571"/>
        </w:trPr>
        <w:tc>
          <w:tcPr>
            <w:tcW w:w="640" w:type="dxa"/>
            <w:shd w:val="clear" w:color="auto" w:fill="4A93D1"/>
            <w:vAlign w:val="center"/>
          </w:tcPr>
          <w:p w14:paraId="6685C284" w14:textId="77777777" w:rsidR="004614E4" w:rsidRPr="00CC1243" w:rsidRDefault="004614E4" w:rsidP="003A4FA4">
            <w:pPr>
              <w:pStyle w:val="Table"/>
              <w:rPr>
                <w:b/>
                <w:bCs/>
                <w:color w:val="FFFFFF" w:themeColor="background1"/>
                <w:sz w:val="22"/>
                <w:szCs w:val="22"/>
              </w:rPr>
            </w:pPr>
            <w:r w:rsidRPr="00CC1243">
              <w:rPr>
                <w:b/>
                <w:bCs/>
                <w:color w:val="FFFFFF" w:themeColor="background1"/>
                <w:sz w:val="22"/>
                <w:szCs w:val="22"/>
              </w:rPr>
              <w:t>No.</w:t>
            </w:r>
          </w:p>
        </w:tc>
        <w:tc>
          <w:tcPr>
            <w:tcW w:w="4230" w:type="dxa"/>
            <w:shd w:val="clear" w:color="auto" w:fill="4A93D1"/>
            <w:vAlign w:val="center"/>
          </w:tcPr>
          <w:p w14:paraId="6685C285" w14:textId="77777777" w:rsidR="004614E4" w:rsidRPr="00CC1243" w:rsidRDefault="00231695" w:rsidP="003A4FA4">
            <w:pPr>
              <w:pStyle w:val="Table"/>
              <w:rPr>
                <w:b/>
                <w:bCs/>
                <w:color w:val="FFFFFF" w:themeColor="background1"/>
                <w:sz w:val="22"/>
                <w:szCs w:val="22"/>
              </w:rPr>
            </w:pPr>
            <w:r w:rsidRPr="00CC1243">
              <w:rPr>
                <w:b/>
                <w:bCs/>
                <w:color w:val="FFFFFF" w:themeColor="background1"/>
                <w:sz w:val="22"/>
                <w:szCs w:val="22"/>
              </w:rPr>
              <w:t>Service</w:t>
            </w:r>
          </w:p>
        </w:tc>
        <w:tc>
          <w:tcPr>
            <w:tcW w:w="3960" w:type="dxa"/>
            <w:shd w:val="clear" w:color="auto" w:fill="4A93D1"/>
            <w:vAlign w:val="center"/>
          </w:tcPr>
          <w:p w14:paraId="6685C286" w14:textId="77777777" w:rsidR="004614E4" w:rsidRPr="00CC1243" w:rsidRDefault="004D61A7" w:rsidP="003A4FA4">
            <w:pPr>
              <w:pStyle w:val="Table"/>
              <w:rPr>
                <w:b/>
                <w:bCs/>
                <w:color w:val="FFFFFF" w:themeColor="background1"/>
                <w:sz w:val="22"/>
                <w:szCs w:val="22"/>
              </w:rPr>
            </w:pPr>
            <w:r w:rsidRPr="00CC1243">
              <w:rPr>
                <w:b/>
                <w:bCs/>
                <w:color w:val="FFFFFF" w:themeColor="background1"/>
                <w:sz w:val="22"/>
                <w:szCs w:val="22"/>
              </w:rPr>
              <w:t>Definition</w:t>
            </w:r>
          </w:p>
        </w:tc>
      </w:tr>
      <w:tr w:rsidR="004614E4" w:rsidRPr="00CC1243" w14:paraId="6685C28B" w14:textId="77777777" w:rsidTr="005D3715">
        <w:trPr>
          <w:trHeight w:val="535"/>
        </w:trPr>
        <w:tc>
          <w:tcPr>
            <w:tcW w:w="640" w:type="dxa"/>
            <w:vAlign w:val="center"/>
          </w:tcPr>
          <w:p w14:paraId="6685C288" w14:textId="77777777" w:rsidR="004614E4" w:rsidRPr="00CC1243" w:rsidRDefault="004614E4" w:rsidP="004614E4">
            <w:pPr>
              <w:pStyle w:val="Table"/>
              <w:rPr>
                <w:sz w:val="22"/>
                <w:szCs w:val="22"/>
              </w:rPr>
            </w:pPr>
            <w:r w:rsidRPr="00CC1243">
              <w:rPr>
                <w:sz w:val="22"/>
                <w:szCs w:val="22"/>
              </w:rPr>
              <w:t>1</w:t>
            </w:r>
          </w:p>
        </w:tc>
        <w:tc>
          <w:tcPr>
            <w:tcW w:w="4230" w:type="dxa"/>
            <w:vAlign w:val="center"/>
          </w:tcPr>
          <w:p w14:paraId="6685C289" w14:textId="77777777" w:rsidR="004614E4" w:rsidRPr="00CC1243" w:rsidRDefault="005D3715" w:rsidP="005D3715">
            <w:pPr>
              <w:pStyle w:val="Table"/>
              <w:rPr>
                <w:sz w:val="22"/>
                <w:szCs w:val="22"/>
              </w:rPr>
            </w:pPr>
            <w:r w:rsidRPr="00CC1243">
              <w:rPr>
                <w:sz w:val="22"/>
                <w:szCs w:val="22"/>
              </w:rPr>
              <w:t>General Emergencies</w:t>
            </w:r>
          </w:p>
        </w:tc>
        <w:tc>
          <w:tcPr>
            <w:tcW w:w="3960" w:type="dxa"/>
            <w:vAlign w:val="center"/>
          </w:tcPr>
          <w:p w14:paraId="6685C28A" w14:textId="77777777" w:rsidR="004614E4" w:rsidRPr="00CC1243" w:rsidRDefault="005D3715" w:rsidP="005D3715">
            <w:pPr>
              <w:pStyle w:val="Table"/>
              <w:rPr>
                <w:sz w:val="22"/>
                <w:szCs w:val="22"/>
              </w:rPr>
            </w:pPr>
            <w:r w:rsidRPr="00CC1243">
              <w:rPr>
                <w:sz w:val="22"/>
                <w:szCs w:val="22"/>
              </w:rPr>
              <w:t>999</w:t>
            </w:r>
            <w:r w:rsidR="00D23CF2" w:rsidRPr="00CC1243">
              <w:rPr>
                <w:sz w:val="22"/>
                <w:szCs w:val="22"/>
              </w:rPr>
              <w:t>9</w:t>
            </w:r>
          </w:p>
        </w:tc>
      </w:tr>
    </w:tbl>
    <w:p w14:paraId="6685C28C" w14:textId="002B8E9B" w:rsidR="004614E4" w:rsidRPr="00CC1243" w:rsidRDefault="004614E4" w:rsidP="00A747A9">
      <w:pPr>
        <w:pStyle w:val="Caption"/>
      </w:pPr>
      <w:bookmarkStart w:id="2" w:name="_Toc419106210"/>
      <w:r w:rsidRPr="00CC1243">
        <w:t xml:space="preserve">Table </w:t>
      </w:r>
      <w:r w:rsidR="00020FBC" w:rsidRPr="00CC1243">
        <w:fldChar w:fldCharType="begin"/>
      </w:r>
      <w:r w:rsidR="00723CBE" w:rsidRPr="00CC1243">
        <w:instrText xml:space="preserve"> STYLEREF 1 \s </w:instrText>
      </w:r>
      <w:r w:rsidR="00020FBC" w:rsidRPr="00CC1243">
        <w:fldChar w:fldCharType="separate"/>
      </w:r>
      <w:r w:rsidR="006A72F0">
        <w:rPr>
          <w:noProof/>
        </w:rPr>
        <w:t>2</w:t>
      </w:r>
      <w:r w:rsidR="00020FBC" w:rsidRPr="00CC1243">
        <w:rPr>
          <w:noProof/>
        </w:rPr>
        <w:fldChar w:fldCharType="end"/>
      </w:r>
      <w:r w:rsidRPr="00CC1243">
        <w:noBreakHyphen/>
      </w:r>
      <w:r w:rsidR="00020FBC" w:rsidRPr="00CC1243">
        <w:fldChar w:fldCharType="begin"/>
      </w:r>
      <w:r w:rsidR="00723CBE" w:rsidRPr="00CC1243">
        <w:instrText xml:space="preserve"> SEQ Table \* ARABIC \s 1 </w:instrText>
      </w:r>
      <w:r w:rsidR="00020FBC" w:rsidRPr="00CC1243">
        <w:fldChar w:fldCharType="separate"/>
      </w:r>
      <w:r w:rsidR="006A72F0">
        <w:rPr>
          <w:noProof/>
        </w:rPr>
        <w:t>1</w:t>
      </w:r>
      <w:r w:rsidR="00020FBC" w:rsidRPr="00CC1243">
        <w:rPr>
          <w:noProof/>
        </w:rPr>
        <w:fldChar w:fldCharType="end"/>
      </w:r>
      <w:r w:rsidRPr="00CC1243">
        <w:t xml:space="preserve"> </w:t>
      </w:r>
      <w:r w:rsidR="00A747A9" w:rsidRPr="00CC1243">
        <w:t xml:space="preserve">Calls to </w:t>
      </w:r>
      <w:r w:rsidR="005D3715" w:rsidRPr="00CC1243">
        <w:t xml:space="preserve">Emergency </w:t>
      </w:r>
      <w:r w:rsidR="00231695" w:rsidRPr="00CC1243">
        <w:t>Service</w:t>
      </w:r>
      <w:bookmarkEnd w:id="2"/>
    </w:p>
    <w:p w14:paraId="6685C28D" w14:textId="77777777" w:rsidR="00257907" w:rsidRPr="00CC1243" w:rsidRDefault="00257907" w:rsidP="00257907">
      <w:pPr>
        <w:pStyle w:val="ListParagraph"/>
      </w:pPr>
      <w:r w:rsidRPr="00CC1243">
        <w:t xml:space="preserve">Any Emergency Call with </w:t>
      </w:r>
      <w:proofErr w:type="gramStart"/>
      <w:r w:rsidRPr="00CC1243">
        <w:t>a CLIR</w:t>
      </w:r>
      <w:proofErr w:type="gramEnd"/>
      <w:r w:rsidRPr="00CC1243">
        <w:t xml:space="preserve"> instruction shall have such CLIR instruction disregarded, allowing full CLIP to be presented to the relevant emergency call </w:t>
      </w:r>
      <w:r w:rsidR="005F145C" w:rsidRPr="00CC1243">
        <w:t>center</w:t>
      </w:r>
      <w:r w:rsidRPr="00CC1243">
        <w:t>.</w:t>
      </w:r>
    </w:p>
    <w:p w14:paraId="6685C28E" w14:textId="0008A467" w:rsidR="006B5ABD" w:rsidRPr="00CC1243" w:rsidRDefault="006B5ABD" w:rsidP="00E13E22">
      <w:pPr>
        <w:pStyle w:val="ListParagraph"/>
      </w:pPr>
      <w:r w:rsidRPr="00CC1243">
        <w:t xml:space="preserve">The </w:t>
      </w:r>
      <w:r w:rsidR="00231695" w:rsidRPr="00CC1243">
        <w:t>Service</w:t>
      </w:r>
      <w:r w:rsidRPr="00CC1243">
        <w:t xml:space="preserve"> includes the termination fee, as listed in </w:t>
      </w:r>
      <w:r w:rsidR="00204D95" w:rsidRPr="00CC1243">
        <w:t>Clause</w:t>
      </w:r>
      <w:r w:rsidR="00DA7333" w:rsidRPr="00CC1243">
        <w:t xml:space="preserve"> </w:t>
      </w:r>
      <w:r w:rsidR="00C85DAF">
        <w:fldChar w:fldCharType="begin"/>
      </w:r>
      <w:r w:rsidR="00C85DAF">
        <w:instrText xml:space="preserve"> REF _Ref212455360 \r \h </w:instrText>
      </w:r>
      <w:r w:rsidR="00C85DAF">
        <w:fldChar w:fldCharType="separate"/>
      </w:r>
      <w:r w:rsidR="006A72F0">
        <w:t>7</w:t>
      </w:r>
      <w:r w:rsidR="00C85DAF">
        <w:fldChar w:fldCharType="end"/>
      </w:r>
      <w:r w:rsidR="00C85DAF">
        <w:t xml:space="preserve"> </w:t>
      </w:r>
      <w:r w:rsidR="00DA7333" w:rsidRPr="00CC1243">
        <w:t>of this Sub Annex</w:t>
      </w:r>
      <w:r w:rsidRPr="00CC1243">
        <w:t xml:space="preserve">, which will be invoiced to </w:t>
      </w:r>
      <w:r w:rsidR="008F4E6C" w:rsidRPr="00CC1243">
        <w:t>the Requesting Party</w:t>
      </w:r>
      <w:r w:rsidRPr="00CC1243">
        <w:t xml:space="preserve">. The </w:t>
      </w:r>
      <w:r w:rsidR="00231695" w:rsidRPr="00CC1243">
        <w:t>Service</w:t>
      </w:r>
      <w:r w:rsidRPr="00CC1243">
        <w:t xml:space="preserve"> might also </w:t>
      </w:r>
      <w:r w:rsidR="00A94BC5" w:rsidRPr="00CC1243">
        <w:t xml:space="preserve">include </w:t>
      </w:r>
      <w:r w:rsidRPr="00CC1243">
        <w:t>additional fee</w:t>
      </w:r>
      <w:r w:rsidR="00E75C3A" w:rsidRPr="00CC1243">
        <w:t>s</w:t>
      </w:r>
      <w:r w:rsidRPr="00CC1243">
        <w:t xml:space="preserve"> </w:t>
      </w:r>
      <w:r w:rsidR="00E75C3A" w:rsidRPr="00CC1243">
        <w:t xml:space="preserve">such as but not limited to the </w:t>
      </w:r>
      <w:r w:rsidRPr="00CC1243">
        <w:t>emergenc</w:t>
      </w:r>
      <w:r w:rsidR="00E75C3A" w:rsidRPr="00CC1243">
        <w:t xml:space="preserve">y </w:t>
      </w:r>
      <w:r w:rsidRPr="00CC1243">
        <w:t xml:space="preserve">call center </w:t>
      </w:r>
      <w:r w:rsidR="00E75C3A" w:rsidRPr="00CC1243">
        <w:t xml:space="preserve">fee and the </w:t>
      </w:r>
      <w:r w:rsidRPr="00CC1243">
        <w:t>administration fee.</w:t>
      </w:r>
      <w:r w:rsidR="00912450">
        <w:t xml:space="preserve"> </w:t>
      </w:r>
      <w:r w:rsidR="00912450" w:rsidRPr="00912450">
        <w:t>Any such fees shall be those either imposed by other relevant authorities of the Sultanate of Oman or any such other charges that shall be cost based and objectively justified. Any fees shall be subject to prior TRA approval.</w:t>
      </w:r>
    </w:p>
    <w:p w14:paraId="6685C28F" w14:textId="77777777" w:rsidR="006B5ABD" w:rsidRPr="00CC1243" w:rsidRDefault="006B5ABD" w:rsidP="00912450"/>
    <w:p w14:paraId="6685C290" w14:textId="77777777" w:rsidR="004614E4" w:rsidRPr="00CC1243" w:rsidRDefault="004614E4" w:rsidP="004614E4">
      <w:pPr>
        <w:pStyle w:val="ListParagraph"/>
        <w:numPr>
          <w:ilvl w:val="0"/>
          <w:numId w:val="0"/>
        </w:numPr>
        <w:ind w:left="864"/>
      </w:pPr>
    </w:p>
    <w:p w14:paraId="6685C291" w14:textId="77777777" w:rsidR="00257AE9" w:rsidRPr="00CC1243" w:rsidRDefault="00257AE9" w:rsidP="00257AE9"/>
    <w:p w14:paraId="6685C292" w14:textId="77777777" w:rsidR="00E15D23" w:rsidRPr="00CC1243" w:rsidRDefault="00E15D23" w:rsidP="00E15D23">
      <w:pPr>
        <w:pStyle w:val="Heading1"/>
      </w:pPr>
      <w:bookmarkStart w:id="3" w:name="_Toc212325664"/>
      <w:bookmarkStart w:id="4" w:name="_Toc331836572"/>
      <w:r w:rsidRPr="00CC1243">
        <w:lastRenderedPageBreak/>
        <w:t xml:space="preserve">Calls to Directory Enquiry </w:t>
      </w:r>
      <w:r w:rsidR="00231695" w:rsidRPr="00CC1243">
        <w:t>Service</w:t>
      </w:r>
      <w:r w:rsidRPr="00CC1243">
        <w:t>s</w:t>
      </w:r>
      <w:bookmarkEnd w:id="3"/>
      <w:r w:rsidRPr="00CC1243">
        <w:t xml:space="preserve"> </w:t>
      </w:r>
    </w:p>
    <w:p w14:paraId="6685C293" w14:textId="77777777" w:rsidR="00E15D23" w:rsidRPr="00CC1243" w:rsidRDefault="00E15D23" w:rsidP="00E15D23">
      <w:pPr>
        <w:pStyle w:val="ListParagraph"/>
      </w:pPr>
      <w:r w:rsidRPr="00CC1243">
        <w:t xml:space="preserve">Omantel shall offer to </w:t>
      </w:r>
      <w:r w:rsidR="008F4E6C" w:rsidRPr="00CC1243">
        <w:t>the Requesting Party</w:t>
      </w:r>
      <w:r w:rsidRPr="00CC1243">
        <w:t xml:space="preserve"> access to certain </w:t>
      </w:r>
      <w:r w:rsidR="00231695" w:rsidRPr="00CC1243">
        <w:t>Service</w:t>
      </w:r>
      <w:r w:rsidRPr="00CC1243">
        <w:t xml:space="preserve">s offered by Omantel </w:t>
      </w:r>
      <w:proofErr w:type="gramStart"/>
      <w:r w:rsidRPr="00CC1243">
        <w:t>through the use of</w:t>
      </w:r>
      <w:proofErr w:type="gramEnd"/>
      <w:r w:rsidRPr="00CC1243">
        <w:t xml:space="preserve"> special 4-digit numbers and number series. The numbers are set out below for each of these </w:t>
      </w:r>
      <w:r w:rsidR="00231695" w:rsidRPr="00CC1243">
        <w:t>Service</w:t>
      </w:r>
      <w:r w:rsidRPr="00CC1243">
        <w:t>s:</w:t>
      </w:r>
    </w:p>
    <w:tbl>
      <w:tblPr>
        <w:tblStyle w:val="TableGridLight1"/>
        <w:tblW w:w="8830" w:type="dxa"/>
        <w:tblInd w:w="885" w:type="dxa"/>
        <w:tblLayout w:type="fixed"/>
        <w:tblLook w:val="04A0" w:firstRow="1" w:lastRow="0" w:firstColumn="1" w:lastColumn="0" w:noHBand="0" w:noVBand="1"/>
      </w:tblPr>
      <w:tblGrid>
        <w:gridCol w:w="640"/>
        <w:gridCol w:w="4230"/>
        <w:gridCol w:w="3960"/>
      </w:tblGrid>
      <w:tr w:rsidR="00E15D23" w:rsidRPr="00CC1243" w14:paraId="6685C297" w14:textId="77777777" w:rsidTr="006B21F0">
        <w:trPr>
          <w:trHeight w:val="571"/>
        </w:trPr>
        <w:tc>
          <w:tcPr>
            <w:tcW w:w="640" w:type="dxa"/>
            <w:shd w:val="clear" w:color="auto" w:fill="4A93D1"/>
            <w:vAlign w:val="center"/>
          </w:tcPr>
          <w:p w14:paraId="6685C294" w14:textId="77777777" w:rsidR="00E15D23" w:rsidRPr="00CC1243" w:rsidRDefault="00E15D23" w:rsidP="006B21F0">
            <w:pPr>
              <w:pStyle w:val="Table"/>
              <w:rPr>
                <w:b/>
                <w:bCs/>
                <w:color w:val="FFFFFF" w:themeColor="background1"/>
                <w:sz w:val="22"/>
                <w:szCs w:val="22"/>
              </w:rPr>
            </w:pPr>
            <w:r w:rsidRPr="00CC1243">
              <w:rPr>
                <w:b/>
                <w:bCs/>
                <w:color w:val="FFFFFF" w:themeColor="background1"/>
                <w:sz w:val="22"/>
                <w:szCs w:val="22"/>
              </w:rPr>
              <w:t>No.</w:t>
            </w:r>
          </w:p>
        </w:tc>
        <w:tc>
          <w:tcPr>
            <w:tcW w:w="4230" w:type="dxa"/>
            <w:shd w:val="clear" w:color="auto" w:fill="4A93D1"/>
            <w:vAlign w:val="center"/>
          </w:tcPr>
          <w:p w14:paraId="6685C295" w14:textId="77777777" w:rsidR="00E15D23" w:rsidRPr="00CC1243" w:rsidRDefault="00231695" w:rsidP="006B21F0">
            <w:pPr>
              <w:pStyle w:val="Table"/>
              <w:rPr>
                <w:b/>
                <w:bCs/>
                <w:color w:val="FFFFFF" w:themeColor="background1"/>
                <w:sz w:val="22"/>
                <w:szCs w:val="22"/>
              </w:rPr>
            </w:pPr>
            <w:r w:rsidRPr="00CC1243">
              <w:rPr>
                <w:b/>
                <w:bCs/>
                <w:color w:val="FFFFFF" w:themeColor="background1"/>
                <w:sz w:val="22"/>
                <w:szCs w:val="22"/>
              </w:rPr>
              <w:t>Service</w:t>
            </w:r>
          </w:p>
        </w:tc>
        <w:tc>
          <w:tcPr>
            <w:tcW w:w="3960" w:type="dxa"/>
            <w:shd w:val="clear" w:color="auto" w:fill="4A93D1"/>
            <w:vAlign w:val="center"/>
          </w:tcPr>
          <w:p w14:paraId="6685C296" w14:textId="77777777" w:rsidR="00E15D23" w:rsidRPr="00CC1243" w:rsidRDefault="00E15D23" w:rsidP="006B21F0">
            <w:pPr>
              <w:pStyle w:val="Table"/>
              <w:rPr>
                <w:b/>
                <w:bCs/>
                <w:color w:val="FFFFFF" w:themeColor="background1"/>
                <w:sz w:val="22"/>
                <w:szCs w:val="22"/>
              </w:rPr>
            </w:pPr>
            <w:r w:rsidRPr="00CC1243">
              <w:rPr>
                <w:b/>
                <w:bCs/>
                <w:color w:val="FFFFFF" w:themeColor="background1"/>
                <w:sz w:val="22"/>
                <w:szCs w:val="22"/>
              </w:rPr>
              <w:t>Definition</w:t>
            </w:r>
          </w:p>
        </w:tc>
      </w:tr>
      <w:tr w:rsidR="00E15D23" w:rsidRPr="00CC1243" w14:paraId="6685C29B" w14:textId="77777777" w:rsidTr="006B21F0">
        <w:trPr>
          <w:trHeight w:val="535"/>
        </w:trPr>
        <w:tc>
          <w:tcPr>
            <w:tcW w:w="640" w:type="dxa"/>
            <w:vAlign w:val="center"/>
          </w:tcPr>
          <w:p w14:paraId="6685C298" w14:textId="77777777" w:rsidR="00E15D23" w:rsidRPr="00CC1243" w:rsidRDefault="00E15D23" w:rsidP="006B21F0">
            <w:pPr>
              <w:pStyle w:val="Table"/>
              <w:rPr>
                <w:sz w:val="22"/>
                <w:szCs w:val="22"/>
              </w:rPr>
            </w:pPr>
            <w:r w:rsidRPr="00CC1243">
              <w:rPr>
                <w:sz w:val="22"/>
                <w:szCs w:val="22"/>
              </w:rPr>
              <w:t>1</w:t>
            </w:r>
          </w:p>
        </w:tc>
        <w:tc>
          <w:tcPr>
            <w:tcW w:w="4230" w:type="dxa"/>
            <w:vAlign w:val="center"/>
          </w:tcPr>
          <w:p w14:paraId="6685C299" w14:textId="77777777" w:rsidR="00E15D23" w:rsidRPr="00CC1243" w:rsidRDefault="00E15D23" w:rsidP="006B21F0">
            <w:pPr>
              <w:pStyle w:val="Table"/>
              <w:jc w:val="left"/>
              <w:rPr>
                <w:sz w:val="22"/>
                <w:szCs w:val="22"/>
              </w:rPr>
            </w:pPr>
            <w:r w:rsidRPr="00CC1243">
              <w:rPr>
                <w:sz w:val="22"/>
                <w:szCs w:val="22"/>
              </w:rPr>
              <w:t>Local Number Enquiries</w:t>
            </w:r>
          </w:p>
        </w:tc>
        <w:tc>
          <w:tcPr>
            <w:tcW w:w="3960" w:type="dxa"/>
            <w:vAlign w:val="center"/>
          </w:tcPr>
          <w:p w14:paraId="6685C29A" w14:textId="77777777" w:rsidR="00E15D23" w:rsidRPr="00CC1243" w:rsidRDefault="00E15D23" w:rsidP="006B21F0">
            <w:pPr>
              <w:pStyle w:val="Table"/>
              <w:rPr>
                <w:sz w:val="22"/>
                <w:szCs w:val="22"/>
              </w:rPr>
            </w:pPr>
            <w:r w:rsidRPr="00CC1243">
              <w:rPr>
                <w:sz w:val="22"/>
                <w:szCs w:val="22"/>
              </w:rPr>
              <w:t>1318</w:t>
            </w:r>
          </w:p>
        </w:tc>
      </w:tr>
      <w:tr w:rsidR="00E15D23" w:rsidRPr="00CC1243" w14:paraId="6685C29F" w14:textId="77777777" w:rsidTr="006B21F0">
        <w:trPr>
          <w:trHeight w:val="535"/>
        </w:trPr>
        <w:tc>
          <w:tcPr>
            <w:tcW w:w="640" w:type="dxa"/>
            <w:vAlign w:val="center"/>
          </w:tcPr>
          <w:p w14:paraId="6685C29C" w14:textId="77777777" w:rsidR="00E15D23" w:rsidRPr="00CC1243" w:rsidRDefault="00E15D23" w:rsidP="006B21F0">
            <w:pPr>
              <w:pStyle w:val="Table"/>
              <w:rPr>
                <w:sz w:val="22"/>
                <w:szCs w:val="22"/>
              </w:rPr>
            </w:pPr>
            <w:r w:rsidRPr="00CC1243">
              <w:rPr>
                <w:sz w:val="22"/>
                <w:szCs w:val="22"/>
              </w:rPr>
              <w:t>2</w:t>
            </w:r>
          </w:p>
        </w:tc>
        <w:tc>
          <w:tcPr>
            <w:tcW w:w="4230" w:type="dxa"/>
            <w:vAlign w:val="center"/>
          </w:tcPr>
          <w:p w14:paraId="6685C29D" w14:textId="77777777" w:rsidR="00E15D23" w:rsidRPr="00CC1243" w:rsidRDefault="00E15D23" w:rsidP="006B21F0">
            <w:pPr>
              <w:pStyle w:val="Table"/>
              <w:jc w:val="left"/>
              <w:rPr>
                <w:sz w:val="22"/>
                <w:szCs w:val="22"/>
              </w:rPr>
            </w:pPr>
            <w:r w:rsidRPr="00CC1243">
              <w:rPr>
                <w:sz w:val="22"/>
                <w:szCs w:val="22"/>
              </w:rPr>
              <w:t>International Number Enquiries</w:t>
            </w:r>
          </w:p>
        </w:tc>
        <w:tc>
          <w:tcPr>
            <w:tcW w:w="3960" w:type="dxa"/>
            <w:vAlign w:val="center"/>
          </w:tcPr>
          <w:p w14:paraId="6685C29E" w14:textId="77777777" w:rsidR="00E15D23" w:rsidRPr="00CC1243" w:rsidRDefault="00E15D23" w:rsidP="006B21F0">
            <w:pPr>
              <w:pStyle w:val="Table"/>
              <w:rPr>
                <w:sz w:val="22"/>
                <w:szCs w:val="22"/>
              </w:rPr>
            </w:pPr>
            <w:r w:rsidRPr="00CC1243">
              <w:rPr>
                <w:sz w:val="22"/>
                <w:szCs w:val="22"/>
              </w:rPr>
              <w:t>1319</w:t>
            </w:r>
          </w:p>
        </w:tc>
      </w:tr>
    </w:tbl>
    <w:p w14:paraId="6685C2A0" w14:textId="7316B847" w:rsidR="00E15D23" w:rsidRPr="00CC1243" w:rsidRDefault="00E15D23" w:rsidP="0053284B">
      <w:pPr>
        <w:pStyle w:val="Caption"/>
      </w:pPr>
      <w:r w:rsidRPr="00CC1243">
        <w:t xml:space="preserve">Table </w:t>
      </w:r>
      <w:r w:rsidR="00F75763">
        <w:fldChar w:fldCharType="begin"/>
      </w:r>
      <w:r w:rsidR="00F75763">
        <w:instrText xml:space="preserve"> STYLEREF 1 \s </w:instrText>
      </w:r>
      <w:r w:rsidR="00F75763">
        <w:fldChar w:fldCharType="separate"/>
      </w:r>
      <w:r w:rsidR="006A72F0">
        <w:rPr>
          <w:noProof/>
        </w:rPr>
        <w:t>3</w:t>
      </w:r>
      <w:r w:rsidR="00F75763">
        <w:rPr>
          <w:noProof/>
        </w:rPr>
        <w:fldChar w:fldCharType="end"/>
      </w:r>
      <w:r w:rsidRPr="00CC1243">
        <w:noBreakHyphen/>
      </w:r>
      <w:r w:rsidR="00F75763">
        <w:fldChar w:fldCharType="begin"/>
      </w:r>
      <w:r w:rsidR="00F75763">
        <w:instrText xml:space="preserve"> SEQ Table \* ARABIC \s 1 </w:instrText>
      </w:r>
      <w:r w:rsidR="00F75763">
        <w:fldChar w:fldCharType="separate"/>
      </w:r>
      <w:r w:rsidR="006A72F0">
        <w:rPr>
          <w:noProof/>
        </w:rPr>
        <w:t>1</w:t>
      </w:r>
      <w:r w:rsidR="00F75763">
        <w:rPr>
          <w:noProof/>
        </w:rPr>
        <w:fldChar w:fldCharType="end"/>
      </w:r>
      <w:r w:rsidRPr="00CC1243">
        <w:t xml:space="preserve"> </w:t>
      </w:r>
      <w:r w:rsidR="0053284B" w:rsidRPr="00CC1243">
        <w:t xml:space="preserve">Calls to Directory Enquiry </w:t>
      </w:r>
      <w:r w:rsidR="00231695" w:rsidRPr="00CC1243">
        <w:t>Service</w:t>
      </w:r>
      <w:r w:rsidR="0053284B" w:rsidRPr="00CC1243">
        <w:t>s</w:t>
      </w:r>
    </w:p>
    <w:p w14:paraId="6685C2A1" w14:textId="5B9086A9" w:rsidR="00802795" w:rsidRPr="00CC1243" w:rsidRDefault="0053284B" w:rsidP="00802795">
      <w:pPr>
        <w:pStyle w:val="ListParagraph"/>
      </w:pPr>
      <w:r w:rsidRPr="00CC1243">
        <w:t xml:space="preserve">The </w:t>
      </w:r>
      <w:r w:rsidR="00231695" w:rsidRPr="00CC1243">
        <w:t>Service</w:t>
      </w:r>
      <w:r w:rsidRPr="00CC1243">
        <w:t xml:space="preserve"> includes the </w:t>
      </w:r>
      <w:r w:rsidRPr="00CC1243">
        <w:t xml:space="preserve">termination fee, as listed in </w:t>
      </w:r>
      <w:r w:rsidR="00204D95" w:rsidRPr="00CC1243">
        <w:t>Clause</w:t>
      </w:r>
      <w:r w:rsidRPr="00CC1243">
        <w:t xml:space="preserve"> </w:t>
      </w:r>
      <w:r w:rsidR="001D5211">
        <w:fldChar w:fldCharType="begin"/>
      </w:r>
      <w:r w:rsidR="001D5211">
        <w:instrText xml:space="preserve"> REF _Ref212455391 \r \h </w:instrText>
      </w:r>
      <w:r w:rsidR="001D5211">
        <w:fldChar w:fldCharType="separate"/>
      </w:r>
      <w:r w:rsidR="006A72F0">
        <w:t>7</w:t>
      </w:r>
      <w:r w:rsidR="001D5211">
        <w:fldChar w:fldCharType="end"/>
      </w:r>
      <w:r w:rsidR="001D5211">
        <w:t xml:space="preserve"> </w:t>
      </w:r>
      <w:r w:rsidR="00DA7333" w:rsidRPr="00CC1243">
        <w:t>of this Sub Annex</w:t>
      </w:r>
      <w:r w:rsidRPr="00CC1243">
        <w:t xml:space="preserve">, which will be invoiced to </w:t>
      </w:r>
      <w:r w:rsidR="008F4E6C" w:rsidRPr="00CC1243">
        <w:t>the Requesti</w:t>
      </w:r>
      <w:r w:rsidR="008F4E6C" w:rsidRPr="00CC1243">
        <w:t>ng Party</w:t>
      </w:r>
      <w:r w:rsidRPr="00CC1243">
        <w:t xml:space="preserve">. </w:t>
      </w:r>
      <w:r w:rsidR="00802795" w:rsidRPr="00802795">
        <w:t>The Service also includes the Directory Enquiry Services fee</w:t>
      </w:r>
      <w:r w:rsidR="00802795">
        <w:t>.</w:t>
      </w:r>
    </w:p>
    <w:p w14:paraId="6685C2A2" w14:textId="77777777" w:rsidR="0053284B" w:rsidRPr="00CC1243" w:rsidRDefault="0053284B" w:rsidP="0053284B"/>
    <w:p w14:paraId="6685C2A3" w14:textId="77777777" w:rsidR="00BF01F3" w:rsidRPr="00CC1243" w:rsidRDefault="00BA028E" w:rsidP="0053284B">
      <w:pPr>
        <w:pStyle w:val="Heading1"/>
      </w:pPr>
      <w:bookmarkStart w:id="5" w:name="_Toc212325665"/>
      <w:r w:rsidRPr="00CC1243">
        <w:lastRenderedPageBreak/>
        <w:t xml:space="preserve">Calls to </w:t>
      </w:r>
      <w:r w:rsidR="0053284B" w:rsidRPr="00CC1243">
        <w:t xml:space="preserve">Local Time Enquiry </w:t>
      </w:r>
      <w:r w:rsidR="00231695" w:rsidRPr="00CC1243">
        <w:t>Service</w:t>
      </w:r>
      <w:bookmarkEnd w:id="4"/>
      <w:bookmarkEnd w:id="5"/>
    </w:p>
    <w:p w14:paraId="6685C2A4" w14:textId="77777777" w:rsidR="00BF01F3" w:rsidRPr="00CC1243" w:rsidRDefault="00BF01F3" w:rsidP="0053284B">
      <w:pPr>
        <w:pStyle w:val="ListParagraph"/>
      </w:pPr>
      <w:r w:rsidRPr="00CC1243">
        <w:t xml:space="preserve">Omantel shall offer to </w:t>
      </w:r>
      <w:r w:rsidR="008F4E6C" w:rsidRPr="00CC1243">
        <w:t>the Requesting Party</w:t>
      </w:r>
      <w:r w:rsidRPr="00CC1243">
        <w:t xml:space="preserve"> access to </w:t>
      </w:r>
      <w:r w:rsidR="0053284B" w:rsidRPr="00CC1243">
        <w:t xml:space="preserve">Local Time Enquiry </w:t>
      </w:r>
      <w:r w:rsidR="00231695" w:rsidRPr="00CC1243">
        <w:t>Service</w:t>
      </w:r>
      <w:r w:rsidRPr="00CC1243">
        <w:t xml:space="preserve"> offered by Omantel </w:t>
      </w:r>
      <w:proofErr w:type="gramStart"/>
      <w:r w:rsidRPr="00CC1243">
        <w:t>through the use of</w:t>
      </w:r>
      <w:proofErr w:type="gramEnd"/>
      <w:r w:rsidRPr="00CC1243">
        <w:t xml:space="preserve"> special 4-digit number</w:t>
      </w:r>
      <w:r w:rsidR="0053284B" w:rsidRPr="00CC1243">
        <w:t>s as shown in the table below</w:t>
      </w:r>
      <w:r w:rsidRPr="00CC1243">
        <w:t>:</w:t>
      </w:r>
    </w:p>
    <w:tbl>
      <w:tblPr>
        <w:tblStyle w:val="TableGridLight1"/>
        <w:tblW w:w="8830" w:type="dxa"/>
        <w:tblInd w:w="885" w:type="dxa"/>
        <w:tblLayout w:type="fixed"/>
        <w:tblLook w:val="04A0" w:firstRow="1" w:lastRow="0" w:firstColumn="1" w:lastColumn="0" w:noHBand="0" w:noVBand="1"/>
      </w:tblPr>
      <w:tblGrid>
        <w:gridCol w:w="640"/>
        <w:gridCol w:w="4230"/>
        <w:gridCol w:w="3960"/>
      </w:tblGrid>
      <w:tr w:rsidR="00BF01F3" w:rsidRPr="00CC1243" w14:paraId="6685C2A8" w14:textId="77777777" w:rsidTr="00CA61CE">
        <w:trPr>
          <w:trHeight w:val="571"/>
        </w:trPr>
        <w:tc>
          <w:tcPr>
            <w:tcW w:w="640" w:type="dxa"/>
            <w:shd w:val="clear" w:color="auto" w:fill="4A93D1"/>
            <w:vAlign w:val="center"/>
          </w:tcPr>
          <w:p w14:paraId="6685C2A5" w14:textId="77777777" w:rsidR="00BF01F3" w:rsidRPr="00CC1243" w:rsidRDefault="00BF01F3" w:rsidP="00CA61CE">
            <w:pPr>
              <w:pStyle w:val="Table"/>
              <w:rPr>
                <w:b/>
                <w:bCs/>
                <w:color w:val="FFFFFF" w:themeColor="background1"/>
                <w:sz w:val="22"/>
                <w:szCs w:val="22"/>
              </w:rPr>
            </w:pPr>
            <w:r w:rsidRPr="00CC1243">
              <w:rPr>
                <w:b/>
                <w:bCs/>
                <w:color w:val="FFFFFF" w:themeColor="background1"/>
                <w:sz w:val="22"/>
                <w:szCs w:val="22"/>
              </w:rPr>
              <w:t>No.</w:t>
            </w:r>
          </w:p>
        </w:tc>
        <w:tc>
          <w:tcPr>
            <w:tcW w:w="4230" w:type="dxa"/>
            <w:shd w:val="clear" w:color="auto" w:fill="4A93D1"/>
            <w:vAlign w:val="center"/>
          </w:tcPr>
          <w:p w14:paraId="6685C2A6" w14:textId="77777777" w:rsidR="00BF01F3" w:rsidRPr="00CC1243" w:rsidRDefault="00231695" w:rsidP="00CA61CE">
            <w:pPr>
              <w:pStyle w:val="Table"/>
              <w:rPr>
                <w:b/>
                <w:bCs/>
                <w:color w:val="FFFFFF" w:themeColor="background1"/>
                <w:sz w:val="22"/>
                <w:szCs w:val="22"/>
              </w:rPr>
            </w:pPr>
            <w:r w:rsidRPr="00CC1243">
              <w:rPr>
                <w:b/>
                <w:bCs/>
                <w:color w:val="FFFFFF" w:themeColor="background1"/>
                <w:sz w:val="22"/>
                <w:szCs w:val="22"/>
              </w:rPr>
              <w:t>Service</w:t>
            </w:r>
          </w:p>
        </w:tc>
        <w:tc>
          <w:tcPr>
            <w:tcW w:w="3960" w:type="dxa"/>
            <w:shd w:val="clear" w:color="auto" w:fill="4A93D1"/>
            <w:vAlign w:val="center"/>
          </w:tcPr>
          <w:p w14:paraId="6685C2A7" w14:textId="77777777" w:rsidR="00BF01F3" w:rsidRPr="00CC1243" w:rsidRDefault="00BF01F3" w:rsidP="00CA61CE">
            <w:pPr>
              <w:pStyle w:val="Table"/>
              <w:rPr>
                <w:b/>
                <w:bCs/>
                <w:color w:val="FFFFFF" w:themeColor="background1"/>
                <w:sz w:val="22"/>
                <w:szCs w:val="22"/>
              </w:rPr>
            </w:pPr>
            <w:r w:rsidRPr="00CC1243">
              <w:rPr>
                <w:b/>
                <w:bCs/>
                <w:color w:val="FFFFFF" w:themeColor="background1"/>
                <w:sz w:val="22"/>
                <w:szCs w:val="22"/>
              </w:rPr>
              <w:t>Definition</w:t>
            </w:r>
          </w:p>
        </w:tc>
      </w:tr>
      <w:tr w:rsidR="00BF01F3" w:rsidRPr="00CC1243" w14:paraId="6685C2AC" w14:textId="77777777" w:rsidTr="00CA61CE">
        <w:trPr>
          <w:trHeight w:val="535"/>
        </w:trPr>
        <w:tc>
          <w:tcPr>
            <w:tcW w:w="640" w:type="dxa"/>
            <w:vAlign w:val="center"/>
          </w:tcPr>
          <w:p w14:paraId="6685C2A9" w14:textId="77777777" w:rsidR="00BF01F3" w:rsidRPr="00CC1243" w:rsidRDefault="0053284B" w:rsidP="00BF01F3">
            <w:pPr>
              <w:pStyle w:val="Table"/>
              <w:rPr>
                <w:sz w:val="22"/>
                <w:szCs w:val="22"/>
              </w:rPr>
            </w:pPr>
            <w:r w:rsidRPr="00CC1243">
              <w:rPr>
                <w:sz w:val="22"/>
                <w:szCs w:val="22"/>
              </w:rPr>
              <w:t>1</w:t>
            </w:r>
          </w:p>
        </w:tc>
        <w:tc>
          <w:tcPr>
            <w:tcW w:w="4230" w:type="dxa"/>
            <w:vAlign w:val="center"/>
          </w:tcPr>
          <w:p w14:paraId="6685C2AA" w14:textId="77777777" w:rsidR="00BF01F3" w:rsidRPr="00CC1243" w:rsidRDefault="00BF01F3" w:rsidP="00BF01F3">
            <w:pPr>
              <w:pStyle w:val="Table"/>
              <w:jc w:val="left"/>
              <w:rPr>
                <w:sz w:val="22"/>
                <w:szCs w:val="22"/>
              </w:rPr>
            </w:pPr>
            <w:r w:rsidRPr="00CC1243">
              <w:rPr>
                <w:sz w:val="22"/>
                <w:szCs w:val="22"/>
              </w:rPr>
              <w:t>Time in Arabic &amp; English</w:t>
            </w:r>
          </w:p>
        </w:tc>
        <w:tc>
          <w:tcPr>
            <w:tcW w:w="3960" w:type="dxa"/>
            <w:vAlign w:val="center"/>
          </w:tcPr>
          <w:p w14:paraId="6685C2AB" w14:textId="77777777" w:rsidR="00BF01F3" w:rsidRPr="00CC1243" w:rsidRDefault="00BF01F3" w:rsidP="00BF01F3">
            <w:pPr>
              <w:pStyle w:val="Table"/>
              <w:rPr>
                <w:sz w:val="22"/>
                <w:szCs w:val="22"/>
              </w:rPr>
            </w:pPr>
            <w:r w:rsidRPr="00CC1243">
              <w:rPr>
                <w:sz w:val="22"/>
                <w:szCs w:val="22"/>
              </w:rPr>
              <w:t>1306</w:t>
            </w:r>
          </w:p>
        </w:tc>
      </w:tr>
    </w:tbl>
    <w:p w14:paraId="6685C2AD" w14:textId="4AA263FC" w:rsidR="000869A6" w:rsidRPr="00CC1243" w:rsidRDefault="000869A6" w:rsidP="000869A6">
      <w:pPr>
        <w:pStyle w:val="Caption"/>
      </w:pPr>
      <w:bookmarkStart w:id="6" w:name="_Toc419106211"/>
      <w:r w:rsidRPr="00CC1243">
        <w:t xml:space="preserve">Table </w:t>
      </w:r>
      <w:r w:rsidR="00020FBC" w:rsidRPr="00CC1243">
        <w:fldChar w:fldCharType="begin"/>
      </w:r>
      <w:r w:rsidR="00723CBE" w:rsidRPr="00CC1243">
        <w:instrText xml:space="preserve"> STYLEREF 1 \s </w:instrText>
      </w:r>
      <w:r w:rsidR="00020FBC" w:rsidRPr="00CC1243">
        <w:fldChar w:fldCharType="separate"/>
      </w:r>
      <w:r w:rsidR="006A72F0">
        <w:rPr>
          <w:noProof/>
        </w:rPr>
        <w:t>4</w:t>
      </w:r>
      <w:r w:rsidR="00020FBC" w:rsidRPr="00CC1243">
        <w:rPr>
          <w:noProof/>
        </w:rPr>
        <w:fldChar w:fldCharType="end"/>
      </w:r>
      <w:r w:rsidRPr="00CC1243">
        <w:noBreakHyphen/>
      </w:r>
      <w:r w:rsidR="00020FBC" w:rsidRPr="00CC1243">
        <w:fldChar w:fldCharType="begin"/>
      </w:r>
      <w:r w:rsidR="00723CBE" w:rsidRPr="00CC1243">
        <w:instrText xml:space="preserve"> SEQ Table \* ARABIC \s 1 </w:instrText>
      </w:r>
      <w:r w:rsidR="00020FBC" w:rsidRPr="00CC1243">
        <w:fldChar w:fldCharType="separate"/>
      </w:r>
      <w:r w:rsidR="006A72F0">
        <w:rPr>
          <w:noProof/>
        </w:rPr>
        <w:t>1</w:t>
      </w:r>
      <w:r w:rsidR="00020FBC" w:rsidRPr="00CC1243">
        <w:rPr>
          <w:noProof/>
        </w:rPr>
        <w:fldChar w:fldCharType="end"/>
      </w:r>
      <w:r w:rsidRPr="00CC1243">
        <w:t xml:space="preserve"> Access to Telephone </w:t>
      </w:r>
      <w:r w:rsidR="00231695" w:rsidRPr="00CC1243">
        <w:t>Service</w:t>
      </w:r>
      <w:r w:rsidRPr="00CC1243">
        <w:t>s’ Numbers</w:t>
      </w:r>
      <w:bookmarkEnd w:id="6"/>
    </w:p>
    <w:p w14:paraId="6685C2AE" w14:textId="2E3C0DF6" w:rsidR="00871EA7" w:rsidRPr="00CC1243" w:rsidRDefault="00DA7333" w:rsidP="00871EA7">
      <w:pPr>
        <w:pStyle w:val="ListParagraph"/>
      </w:pPr>
      <w:r w:rsidRPr="00CC1243">
        <w:t xml:space="preserve">The </w:t>
      </w:r>
      <w:r w:rsidR="00231695" w:rsidRPr="00CC1243">
        <w:t>Service</w:t>
      </w:r>
      <w:r w:rsidRPr="00CC1243">
        <w:t xml:space="preserve"> includes the termination fee, as listed in </w:t>
      </w:r>
      <w:r w:rsidR="00204D95" w:rsidRPr="00CC1243">
        <w:t>Clause</w:t>
      </w:r>
      <w:r w:rsidRPr="00CC1243">
        <w:t xml:space="preserve"> </w:t>
      </w:r>
      <w:r w:rsidR="001D5211">
        <w:fldChar w:fldCharType="begin"/>
      </w:r>
      <w:r w:rsidR="001D5211">
        <w:instrText xml:space="preserve"> REF _Ref212455430 \r \h </w:instrText>
      </w:r>
      <w:r w:rsidR="001D5211">
        <w:fldChar w:fldCharType="separate"/>
      </w:r>
      <w:r w:rsidR="006A72F0">
        <w:t>7</w:t>
      </w:r>
      <w:r w:rsidR="001D5211">
        <w:fldChar w:fldCharType="end"/>
      </w:r>
      <w:r w:rsidR="001D5211">
        <w:t xml:space="preserve"> </w:t>
      </w:r>
      <w:r w:rsidRPr="00CC1243">
        <w:t xml:space="preserve">of this Sub Annex, which will be invoiced to </w:t>
      </w:r>
      <w:r w:rsidR="008F4E6C" w:rsidRPr="00CC1243">
        <w:t>the Requesting Party</w:t>
      </w:r>
      <w:r w:rsidRPr="00CC1243">
        <w:t xml:space="preserve">. </w:t>
      </w:r>
      <w:r w:rsidR="00871EA7" w:rsidRPr="00871EA7">
        <w:t>The Service also includes the Local Time Enquiry fee</w:t>
      </w:r>
      <w:r w:rsidR="00871EA7">
        <w:t>.</w:t>
      </w:r>
    </w:p>
    <w:p w14:paraId="6685C2AF" w14:textId="77777777" w:rsidR="00260CC1" w:rsidRPr="00CC1243" w:rsidRDefault="00260CC1" w:rsidP="00260CC1"/>
    <w:p w14:paraId="6685C2B0" w14:textId="77777777" w:rsidR="0053284B" w:rsidRPr="00CC1243" w:rsidRDefault="0053284B" w:rsidP="0053284B">
      <w:pPr>
        <w:pStyle w:val="Heading1"/>
      </w:pPr>
      <w:bookmarkStart w:id="7" w:name="_Toc212325666"/>
      <w:r w:rsidRPr="00CC1243">
        <w:lastRenderedPageBreak/>
        <w:t xml:space="preserve">Calls to Omantel </w:t>
      </w:r>
      <w:r w:rsidR="00231695" w:rsidRPr="00CC1243">
        <w:t>Service</w:t>
      </w:r>
      <w:r w:rsidRPr="00CC1243">
        <w:t xml:space="preserve"> Center</w:t>
      </w:r>
      <w:bookmarkEnd w:id="7"/>
    </w:p>
    <w:p w14:paraId="6685C2B1" w14:textId="77777777" w:rsidR="0053284B" w:rsidRPr="00CC1243" w:rsidRDefault="0053284B" w:rsidP="00813B04">
      <w:pPr>
        <w:pStyle w:val="ListParagraph"/>
      </w:pPr>
      <w:r w:rsidRPr="00CC1243">
        <w:t xml:space="preserve">Omantel shall offer to </w:t>
      </w:r>
      <w:r w:rsidR="008F4E6C" w:rsidRPr="00CC1243">
        <w:t>the Requesting Party</w:t>
      </w:r>
      <w:r w:rsidRPr="00CC1243">
        <w:t xml:space="preserve"> access to Omantel </w:t>
      </w:r>
      <w:r w:rsidR="00231695" w:rsidRPr="00CC1243">
        <w:t>Service</w:t>
      </w:r>
      <w:r w:rsidRPr="00CC1243">
        <w:t xml:space="preserve"> Center listed below. </w:t>
      </w:r>
    </w:p>
    <w:tbl>
      <w:tblPr>
        <w:tblStyle w:val="TableGridLight1"/>
        <w:tblW w:w="8830" w:type="dxa"/>
        <w:tblInd w:w="885" w:type="dxa"/>
        <w:tblLayout w:type="fixed"/>
        <w:tblLook w:val="04A0" w:firstRow="1" w:lastRow="0" w:firstColumn="1" w:lastColumn="0" w:noHBand="0" w:noVBand="1"/>
      </w:tblPr>
      <w:tblGrid>
        <w:gridCol w:w="640"/>
        <w:gridCol w:w="5850"/>
        <w:gridCol w:w="2340"/>
      </w:tblGrid>
      <w:tr w:rsidR="0053284B" w:rsidRPr="00CC1243" w14:paraId="6685C2B5" w14:textId="77777777" w:rsidTr="006B21F0">
        <w:trPr>
          <w:trHeight w:val="571"/>
        </w:trPr>
        <w:tc>
          <w:tcPr>
            <w:tcW w:w="640" w:type="dxa"/>
            <w:shd w:val="clear" w:color="auto" w:fill="4A93D1"/>
            <w:vAlign w:val="center"/>
          </w:tcPr>
          <w:p w14:paraId="6685C2B2" w14:textId="77777777" w:rsidR="0053284B" w:rsidRPr="00CC1243" w:rsidRDefault="0053284B" w:rsidP="006B21F0">
            <w:pPr>
              <w:pStyle w:val="Table"/>
              <w:rPr>
                <w:b/>
                <w:bCs/>
                <w:color w:val="FFFFFF" w:themeColor="background1"/>
                <w:sz w:val="22"/>
                <w:szCs w:val="22"/>
              </w:rPr>
            </w:pPr>
            <w:r w:rsidRPr="00CC1243">
              <w:rPr>
                <w:b/>
                <w:bCs/>
                <w:color w:val="FFFFFF" w:themeColor="background1"/>
                <w:sz w:val="22"/>
                <w:szCs w:val="22"/>
              </w:rPr>
              <w:t>No.</w:t>
            </w:r>
          </w:p>
        </w:tc>
        <w:tc>
          <w:tcPr>
            <w:tcW w:w="5850" w:type="dxa"/>
            <w:shd w:val="clear" w:color="auto" w:fill="4A93D1"/>
            <w:vAlign w:val="center"/>
          </w:tcPr>
          <w:p w14:paraId="6685C2B3" w14:textId="77777777" w:rsidR="0053284B" w:rsidRPr="00CC1243" w:rsidRDefault="00231695" w:rsidP="006B21F0">
            <w:pPr>
              <w:pStyle w:val="Table"/>
              <w:rPr>
                <w:b/>
                <w:bCs/>
                <w:color w:val="FFFFFF" w:themeColor="background1"/>
                <w:sz w:val="22"/>
                <w:szCs w:val="22"/>
              </w:rPr>
            </w:pPr>
            <w:r w:rsidRPr="00CC1243">
              <w:rPr>
                <w:b/>
                <w:bCs/>
                <w:color w:val="FFFFFF" w:themeColor="background1"/>
                <w:sz w:val="22"/>
                <w:szCs w:val="22"/>
              </w:rPr>
              <w:t>Service</w:t>
            </w:r>
          </w:p>
        </w:tc>
        <w:tc>
          <w:tcPr>
            <w:tcW w:w="2340" w:type="dxa"/>
            <w:shd w:val="clear" w:color="auto" w:fill="4A93D1"/>
            <w:vAlign w:val="center"/>
          </w:tcPr>
          <w:p w14:paraId="6685C2B4" w14:textId="77777777" w:rsidR="0053284B" w:rsidRPr="00CC1243" w:rsidRDefault="0053284B" w:rsidP="006B21F0">
            <w:pPr>
              <w:pStyle w:val="Table"/>
              <w:rPr>
                <w:b/>
                <w:bCs/>
                <w:color w:val="FFFFFF" w:themeColor="background1"/>
                <w:sz w:val="22"/>
                <w:szCs w:val="22"/>
              </w:rPr>
            </w:pPr>
            <w:r w:rsidRPr="00CC1243">
              <w:rPr>
                <w:b/>
                <w:bCs/>
                <w:color w:val="FFFFFF" w:themeColor="background1"/>
                <w:sz w:val="22"/>
                <w:szCs w:val="22"/>
              </w:rPr>
              <w:t>Definition</w:t>
            </w:r>
          </w:p>
        </w:tc>
      </w:tr>
      <w:tr w:rsidR="0053284B" w:rsidRPr="00CC1243" w14:paraId="6685C2B9" w14:textId="77777777" w:rsidTr="006B21F0">
        <w:trPr>
          <w:trHeight w:val="535"/>
        </w:trPr>
        <w:tc>
          <w:tcPr>
            <w:tcW w:w="640" w:type="dxa"/>
            <w:vAlign w:val="center"/>
          </w:tcPr>
          <w:p w14:paraId="6685C2B6" w14:textId="77777777" w:rsidR="0053284B" w:rsidRPr="00CC1243" w:rsidRDefault="00EF0404" w:rsidP="006B21F0">
            <w:pPr>
              <w:pStyle w:val="Table"/>
              <w:rPr>
                <w:sz w:val="22"/>
                <w:szCs w:val="22"/>
              </w:rPr>
            </w:pPr>
            <w:r w:rsidRPr="00CC1243">
              <w:rPr>
                <w:sz w:val="22"/>
                <w:szCs w:val="22"/>
              </w:rPr>
              <w:t>1</w:t>
            </w:r>
          </w:p>
        </w:tc>
        <w:tc>
          <w:tcPr>
            <w:tcW w:w="5850" w:type="dxa"/>
            <w:vAlign w:val="center"/>
          </w:tcPr>
          <w:p w14:paraId="6685C2B7" w14:textId="77777777" w:rsidR="0053284B" w:rsidRPr="00CC1243" w:rsidRDefault="00EF0404" w:rsidP="006B21F0">
            <w:pPr>
              <w:pStyle w:val="Table"/>
              <w:jc w:val="left"/>
              <w:rPr>
                <w:sz w:val="22"/>
                <w:szCs w:val="22"/>
              </w:rPr>
            </w:pPr>
            <w:r w:rsidRPr="00CC1243">
              <w:rPr>
                <w:sz w:val="22"/>
                <w:szCs w:val="22"/>
              </w:rPr>
              <w:t>Omantel Service Center</w:t>
            </w:r>
          </w:p>
        </w:tc>
        <w:tc>
          <w:tcPr>
            <w:tcW w:w="2340" w:type="dxa"/>
            <w:vAlign w:val="center"/>
          </w:tcPr>
          <w:p w14:paraId="6685C2B8" w14:textId="77777777" w:rsidR="0053284B" w:rsidRPr="00CC1243" w:rsidRDefault="0053284B" w:rsidP="00EF0404">
            <w:pPr>
              <w:pStyle w:val="Table"/>
              <w:rPr>
                <w:sz w:val="22"/>
                <w:szCs w:val="22"/>
              </w:rPr>
            </w:pPr>
            <w:r w:rsidRPr="00CC1243">
              <w:rPr>
                <w:sz w:val="22"/>
                <w:szCs w:val="22"/>
              </w:rPr>
              <w:t>1234</w:t>
            </w:r>
          </w:p>
        </w:tc>
      </w:tr>
    </w:tbl>
    <w:p w14:paraId="6685C2BA" w14:textId="532DE5C8" w:rsidR="0053284B" w:rsidRPr="00CC1243" w:rsidRDefault="0053284B" w:rsidP="00EE77E1">
      <w:pPr>
        <w:pStyle w:val="Caption"/>
      </w:pPr>
      <w:r w:rsidRPr="00CC1243">
        <w:t xml:space="preserve">Table </w:t>
      </w:r>
      <w:r w:rsidR="00F75763">
        <w:fldChar w:fldCharType="begin"/>
      </w:r>
      <w:r w:rsidR="00F75763">
        <w:instrText xml:space="preserve"> STYLEREF 1 \s </w:instrText>
      </w:r>
      <w:r w:rsidR="00F75763">
        <w:fldChar w:fldCharType="separate"/>
      </w:r>
      <w:r w:rsidR="006A72F0">
        <w:rPr>
          <w:noProof/>
        </w:rPr>
        <w:t>5</w:t>
      </w:r>
      <w:r w:rsidR="00F75763">
        <w:rPr>
          <w:noProof/>
        </w:rPr>
        <w:fldChar w:fldCharType="end"/>
      </w:r>
      <w:r w:rsidRPr="00CC1243">
        <w:noBreakHyphen/>
      </w:r>
      <w:r w:rsidR="00F75763">
        <w:fldChar w:fldCharType="begin"/>
      </w:r>
      <w:r w:rsidR="00F75763">
        <w:instrText xml:space="preserve"> SEQ Table \* ARABIC \s 1 </w:instrText>
      </w:r>
      <w:r w:rsidR="00F75763">
        <w:fldChar w:fldCharType="separate"/>
      </w:r>
      <w:r w:rsidR="006A72F0">
        <w:rPr>
          <w:noProof/>
        </w:rPr>
        <w:t>1</w:t>
      </w:r>
      <w:r w:rsidR="00F75763">
        <w:rPr>
          <w:noProof/>
        </w:rPr>
        <w:fldChar w:fldCharType="end"/>
      </w:r>
      <w:r w:rsidRPr="00CC1243">
        <w:t xml:space="preserve"> </w:t>
      </w:r>
      <w:r w:rsidR="00EE77E1" w:rsidRPr="00CC1243">
        <w:t xml:space="preserve">Calls to Omantel </w:t>
      </w:r>
      <w:r w:rsidR="00231695" w:rsidRPr="00CC1243">
        <w:t>Service</w:t>
      </w:r>
      <w:r w:rsidR="007151FA" w:rsidRPr="00CC1243">
        <w:t xml:space="preserve"> Center</w:t>
      </w:r>
    </w:p>
    <w:p w14:paraId="6685C2BB" w14:textId="77777777" w:rsidR="0053284B" w:rsidRPr="00CC1243" w:rsidRDefault="0053284B" w:rsidP="0053284B"/>
    <w:p w14:paraId="6685C2BC" w14:textId="77777777" w:rsidR="003A4FA4" w:rsidRPr="00CC1243" w:rsidRDefault="003A4FA4" w:rsidP="00CF5EB7">
      <w:pPr>
        <w:pStyle w:val="Heading1"/>
      </w:pPr>
      <w:bookmarkStart w:id="8" w:name="_Toc212325667"/>
      <w:r w:rsidRPr="00CC1243">
        <w:lastRenderedPageBreak/>
        <w:t>Ordering and Delivery</w:t>
      </w:r>
      <w:bookmarkEnd w:id="8"/>
    </w:p>
    <w:p w14:paraId="6685C2BD" w14:textId="77777777" w:rsidR="00447C89" w:rsidRDefault="003A4FA4">
      <w:pPr>
        <w:pStyle w:val="ListParagraph"/>
      </w:pPr>
      <w:r w:rsidRPr="00CC1243">
        <w:t xml:space="preserve">Ordering and delivery </w:t>
      </w:r>
      <w:r w:rsidR="00E13E22" w:rsidRPr="00CC1243">
        <w:t xml:space="preserve">shall be </w:t>
      </w:r>
      <w:r w:rsidRPr="00CC1243">
        <w:t xml:space="preserve">handled according to Annex </w:t>
      </w:r>
      <w:r w:rsidR="008F4E6C" w:rsidRPr="00CC1243">
        <w:t>H</w:t>
      </w:r>
      <w:r w:rsidRPr="00CC1243">
        <w:t>.</w:t>
      </w:r>
    </w:p>
    <w:p w14:paraId="6685C2BE" w14:textId="77777777" w:rsidR="00913CCC" w:rsidRDefault="00913CCC">
      <w:pPr>
        <w:pStyle w:val="ListParagraph"/>
      </w:pPr>
      <w:r w:rsidRPr="00913CCC">
        <w:t xml:space="preserve">Omantel shall target a delivery time of no more than thirty (30) to seventy (70) Working Days subject to feasibility, cooperation of the Requesting Party and any other third Party. This delivery date is subject to the Requesting Party having fully cooperated with Omantel </w:t>
      </w:r>
      <w:proofErr w:type="gramStart"/>
      <w:r w:rsidRPr="00913CCC">
        <w:t>and</w:t>
      </w:r>
      <w:proofErr w:type="gramEnd"/>
      <w:r w:rsidRPr="00913CCC">
        <w:t xml:space="preserve"> that there will be no delays caused by factors outside Omantel’s control such as, for example, due to the delay arising from the involvement of governmental entities.</w:t>
      </w:r>
    </w:p>
    <w:p w14:paraId="6685C2BF" w14:textId="77777777" w:rsidR="003A4FA4" w:rsidRPr="00CC1243" w:rsidRDefault="003A4FA4" w:rsidP="003A4FA4"/>
    <w:p w14:paraId="6685C2C0" w14:textId="16830AD9" w:rsidR="00256016" w:rsidRPr="00CC1243" w:rsidRDefault="00D07279" w:rsidP="002542BD">
      <w:pPr>
        <w:pStyle w:val="Heading1"/>
      </w:pPr>
      <w:bookmarkStart w:id="9" w:name="_Toc212325668"/>
      <w:bookmarkStart w:id="10" w:name="_Ref212455360"/>
      <w:bookmarkStart w:id="11" w:name="_Ref212455391"/>
      <w:bookmarkStart w:id="12" w:name="_Ref212455430"/>
      <w:r>
        <w:lastRenderedPageBreak/>
        <w:t>Prices</w:t>
      </w:r>
      <w:bookmarkEnd w:id="9"/>
      <w:bookmarkEnd w:id="10"/>
      <w:bookmarkEnd w:id="11"/>
      <w:bookmarkEnd w:id="12"/>
    </w:p>
    <w:p w14:paraId="6685C2C1" w14:textId="7661CEBF" w:rsidR="00256016" w:rsidRPr="00CC1243" w:rsidRDefault="00256016" w:rsidP="008F4E6C">
      <w:pPr>
        <w:pStyle w:val="ListParagraph"/>
      </w:pPr>
      <w:bookmarkStart w:id="13" w:name="_Toc268519287"/>
      <w:r w:rsidRPr="00CC1243">
        <w:t xml:space="preserve">The </w:t>
      </w:r>
      <w:proofErr w:type="gramStart"/>
      <w:r w:rsidRPr="00CC1243">
        <w:t>up to date</w:t>
      </w:r>
      <w:proofErr w:type="gramEnd"/>
      <w:r w:rsidRPr="00CC1243">
        <w:t xml:space="preserve"> </w:t>
      </w:r>
      <w:r w:rsidR="00D07279">
        <w:t>prices</w:t>
      </w:r>
      <w:r w:rsidR="00D07279" w:rsidRPr="00CC1243">
        <w:t xml:space="preserve"> </w:t>
      </w:r>
      <w:r w:rsidRPr="00CC1243">
        <w:t xml:space="preserve">for the </w:t>
      </w:r>
      <w:r w:rsidR="00231695" w:rsidRPr="00CC1243">
        <w:t>Service</w:t>
      </w:r>
      <w:r w:rsidRPr="00CC1243">
        <w:t>s can be found in Annex M</w:t>
      </w:r>
      <w:bookmarkEnd w:id="13"/>
      <w:r w:rsidRPr="00CC1243">
        <w:t>.</w:t>
      </w:r>
    </w:p>
    <w:p w14:paraId="6685C2C2" w14:textId="77777777" w:rsidR="00256016" w:rsidRPr="00CC1243" w:rsidRDefault="00256016">
      <w:pPr>
        <w:pStyle w:val="ListParagraph"/>
      </w:pPr>
      <w:r w:rsidRPr="00CC1243">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C50BB1" w:rsidRPr="00CC1243">
        <w:t xml:space="preserve"> Omantel shall inform the </w:t>
      </w:r>
      <w:r w:rsidR="001D6542" w:rsidRPr="00CC1243">
        <w:t xml:space="preserve">TRA </w:t>
      </w:r>
      <w:proofErr w:type="gramStart"/>
      <w:r w:rsidR="001D6542" w:rsidRPr="00CC1243">
        <w:t>Accordingly</w:t>
      </w:r>
      <w:r w:rsidR="005F1D6D">
        <w:t xml:space="preserve">, </w:t>
      </w:r>
      <w:r w:rsidR="005F1D6D" w:rsidRPr="005F1D6D">
        <w:t>and</w:t>
      </w:r>
      <w:proofErr w:type="gramEnd"/>
      <w:r w:rsidR="005F1D6D" w:rsidRPr="005F1D6D">
        <w:t xml:space="preserve"> obtain the necessary approvals from it.</w:t>
      </w:r>
      <w:r w:rsidR="00447C89">
        <w:t xml:space="preserve"> </w:t>
      </w:r>
      <w:r w:rsidR="00447C89" w:rsidRPr="00447C89">
        <w:t xml:space="preserve">For the avoidance of doubt, </w:t>
      </w:r>
      <w:r w:rsidR="008D1BD5">
        <w:t xml:space="preserve">the </w:t>
      </w:r>
      <w:r w:rsidR="00447C89" w:rsidRPr="00447C89">
        <w:t xml:space="preserve">cost of integration and testing of standard orders is included in the published NRC/set-up fee for the corresponding </w:t>
      </w:r>
      <w:proofErr w:type="gramStart"/>
      <w:r w:rsidR="00447C89" w:rsidRPr="00447C89">
        <w:t>service</w:t>
      </w:r>
      <w:proofErr w:type="gramEnd"/>
      <w:r w:rsidR="00447C89" w:rsidRPr="00447C89">
        <w:t xml:space="preserve"> and any such charges shall apply to items that could not reasonably be foreseen or in respect to special requirements from the Requesting Party during the provisioning of the services</w:t>
      </w:r>
      <w:r w:rsidR="00447C89">
        <w:t>.</w:t>
      </w:r>
    </w:p>
    <w:p w14:paraId="6685C2C3" w14:textId="77777777" w:rsidR="00256016" w:rsidRPr="00CC1243" w:rsidRDefault="00256016" w:rsidP="00256016"/>
    <w:p w14:paraId="6685C2C4" w14:textId="77777777" w:rsidR="00E568AD" w:rsidRPr="00CC1243" w:rsidRDefault="00E568AD" w:rsidP="00E568AD">
      <w:pPr>
        <w:rPr>
          <w:lang w:val="en-GB"/>
        </w:rPr>
      </w:pPr>
    </w:p>
    <w:p w14:paraId="6685C2C5" w14:textId="77777777" w:rsidR="00E568AD" w:rsidRPr="00CC1243" w:rsidRDefault="00E568AD" w:rsidP="00D21D9F">
      <w:pPr>
        <w:pStyle w:val="Heading1"/>
      </w:pPr>
      <w:bookmarkStart w:id="14" w:name="_Toc369710415"/>
      <w:bookmarkStart w:id="15" w:name="_Toc212325669"/>
      <w:r w:rsidRPr="00CC1243">
        <w:lastRenderedPageBreak/>
        <w:t>Fault Management</w:t>
      </w:r>
      <w:bookmarkEnd w:id="14"/>
      <w:bookmarkEnd w:id="15"/>
    </w:p>
    <w:p w14:paraId="6685C2C6" w14:textId="77777777" w:rsidR="00E568AD" w:rsidRPr="00CC1243" w:rsidRDefault="00E568AD" w:rsidP="00E13E22">
      <w:pPr>
        <w:pStyle w:val="ListParagraph"/>
        <w:rPr>
          <w:rFonts w:eastAsia="Calibri" w:cs="Helvetica"/>
          <w:szCs w:val="22"/>
        </w:rPr>
      </w:pPr>
      <w:r w:rsidRPr="00CC1243">
        <w:t xml:space="preserve">Fault Management </w:t>
      </w:r>
      <w:r w:rsidR="00E13E22" w:rsidRPr="00CC1243">
        <w:t xml:space="preserve">shall be </w:t>
      </w:r>
      <w:r w:rsidRPr="00CC1243">
        <w:t>handled according to Annex H</w:t>
      </w:r>
      <w:r w:rsidRPr="00CC1243">
        <w:rPr>
          <w:rFonts w:eastAsia="Calibri" w:cs="Helvetica"/>
          <w:szCs w:val="22"/>
        </w:rPr>
        <w:t>.</w:t>
      </w:r>
    </w:p>
    <w:p w14:paraId="6685C2C7" w14:textId="77777777" w:rsidR="00E568AD" w:rsidRPr="00CC1243" w:rsidRDefault="00E568AD" w:rsidP="00D21D9F">
      <w:pPr>
        <w:pStyle w:val="Heading1"/>
      </w:pPr>
      <w:bookmarkStart w:id="16" w:name="_Toc369710416"/>
      <w:bookmarkStart w:id="17" w:name="_Toc212325670"/>
      <w:r w:rsidRPr="00CC1243">
        <w:lastRenderedPageBreak/>
        <w:t>Forecasts</w:t>
      </w:r>
      <w:bookmarkEnd w:id="16"/>
      <w:bookmarkEnd w:id="17"/>
    </w:p>
    <w:p w14:paraId="6685C2C8" w14:textId="77777777" w:rsidR="00E568AD" w:rsidRPr="00CC1243" w:rsidRDefault="00E568AD" w:rsidP="00E13E22">
      <w:pPr>
        <w:pStyle w:val="ListParagraph"/>
        <w:rPr>
          <w:rFonts w:eastAsia="Calibri" w:cs="Helvetica"/>
          <w:szCs w:val="22"/>
        </w:rPr>
      </w:pPr>
      <w:r w:rsidRPr="00CC1243">
        <w:t xml:space="preserve">Forecasting </w:t>
      </w:r>
      <w:r w:rsidR="00E13E22" w:rsidRPr="00CC1243">
        <w:t xml:space="preserve">shall be </w:t>
      </w:r>
      <w:r w:rsidRPr="00CC1243">
        <w:t>handled according to Annex F.</w:t>
      </w:r>
    </w:p>
    <w:p w14:paraId="6685C2C9" w14:textId="77777777" w:rsidR="00E568AD" w:rsidRPr="00CC1243" w:rsidRDefault="00E568AD" w:rsidP="00E568AD">
      <w:pPr>
        <w:rPr>
          <w:lang w:val="en-GB"/>
        </w:rPr>
      </w:pPr>
    </w:p>
    <w:sectPr w:rsidR="00E568AD" w:rsidRPr="00CC1243"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C8E6" w14:textId="77777777" w:rsidR="009C4F1C" w:rsidRDefault="009C4F1C">
      <w:r>
        <w:separator/>
      </w:r>
    </w:p>
    <w:p w14:paraId="058DF20E" w14:textId="77777777" w:rsidR="009C4F1C" w:rsidRDefault="009C4F1C"/>
  </w:endnote>
  <w:endnote w:type="continuationSeparator" w:id="0">
    <w:p w14:paraId="57D364E3" w14:textId="77777777" w:rsidR="009C4F1C" w:rsidRDefault="009C4F1C">
      <w:r>
        <w:continuationSeparator/>
      </w:r>
    </w:p>
    <w:p w14:paraId="63D24EB3" w14:textId="77777777" w:rsidR="009C4F1C" w:rsidRDefault="009C4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D4" w14:textId="77777777" w:rsidR="003A4FA4" w:rsidRDefault="008B390B">
    <w:pPr>
      <w:pStyle w:val="Footer"/>
    </w:pPr>
    <w:r>
      <w:rPr>
        <w:noProof/>
      </w:rPr>
      <mc:AlternateContent>
        <mc:Choice Requires="wps">
          <w:drawing>
            <wp:anchor distT="0" distB="0" distL="114300" distR="114300" simplePos="0" relativeHeight="251664896" behindDoc="0" locked="0" layoutInCell="1" allowOverlap="1" wp14:anchorId="6685C2EE" wp14:editId="6685C2EF">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9F7FF6"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63872" behindDoc="0" locked="0" layoutInCell="1" allowOverlap="1" wp14:anchorId="6685C2F0" wp14:editId="6685C2F1">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6685C2F2" wp14:editId="6685C2F3">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EEE271"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6685C2F4" wp14:editId="6685C2F5">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D589A6"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6685C2F6" wp14:editId="6685C2F7">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D6"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Belgacom Group ISO </w:t>
    </w:r>
    <w:proofErr w:type="gramStart"/>
    <w:r>
      <w:t>certificates :</w:t>
    </w:r>
    <w:proofErr w:type="gramEnd"/>
    <w:r>
      <w:t xml:space="preserve"> www.belgacom.com</w:t>
    </w:r>
  </w:p>
  <w:p w14:paraId="6685C2D7"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DC"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020FBC" w:rsidRPr="002A3A70">
      <w:rPr>
        <w:sz w:val="16"/>
        <w:szCs w:val="16"/>
      </w:rPr>
      <w:fldChar w:fldCharType="begin"/>
    </w:r>
    <w:r w:rsidRPr="002A3A70">
      <w:rPr>
        <w:sz w:val="16"/>
        <w:szCs w:val="16"/>
      </w:rPr>
      <w:instrText xml:space="preserve"> PAGE </w:instrText>
    </w:r>
    <w:r w:rsidR="00020FBC" w:rsidRPr="002A3A70">
      <w:rPr>
        <w:sz w:val="16"/>
        <w:szCs w:val="16"/>
      </w:rPr>
      <w:fldChar w:fldCharType="separate"/>
    </w:r>
    <w:r w:rsidR="00A93099">
      <w:rPr>
        <w:noProof/>
        <w:sz w:val="16"/>
        <w:szCs w:val="16"/>
      </w:rPr>
      <w:t>11</w:t>
    </w:r>
    <w:r w:rsidR="00020FBC" w:rsidRPr="002A3A70">
      <w:rPr>
        <w:sz w:val="16"/>
        <w:szCs w:val="16"/>
      </w:rPr>
      <w:fldChar w:fldCharType="end"/>
    </w:r>
    <w:r w:rsidRPr="002A3A70">
      <w:rPr>
        <w:sz w:val="16"/>
        <w:szCs w:val="16"/>
      </w:rPr>
      <w:t xml:space="preserve"> of </w:t>
    </w:r>
    <w:r w:rsidR="00020FBC" w:rsidRPr="002A3A70">
      <w:rPr>
        <w:sz w:val="16"/>
        <w:szCs w:val="16"/>
      </w:rPr>
      <w:fldChar w:fldCharType="begin"/>
    </w:r>
    <w:r w:rsidRPr="002A3A70">
      <w:rPr>
        <w:sz w:val="16"/>
        <w:szCs w:val="16"/>
      </w:rPr>
      <w:instrText xml:space="preserve"> NUMPAGES </w:instrText>
    </w:r>
    <w:r w:rsidR="00020FBC" w:rsidRPr="002A3A70">
      <w:rPr>
        <w:sz w:val="16"/>
        <w:szCs w:val="16"/>
      </w:rPr>
      <w:fldChar w:fldCharType="separate"/>
    </w:r>
    <w:r w:rsidR="00A93099">
      <w:rPr>
        <w:noProof/>
        <w:sz w:val="16"/>
        <w:szCs w:val="16"/>
      </w:rPr>
      <w:t>11</w:t>
    </w:r>
    <w:r w:rsidR="00020FBC" w:rsidRPr="002A3A70">
      <w:rPr>
        <w:sz w:val="16"/>
        <w:szCs w:val="16"/>
      </w:rPr>
      <w:fldChar w:fldCharType="end"/>
    </w:r>
  </w:p>
  <w:p w14:paraId="6685C2DD" w14:textId="77777777" w:rsidR="003A4FA4" w:rsidRPr="002A3A70" w:rsidRDefault="003A4FA4" w:rsidP="002A3A70">
    <w:pPr>
      <w:pStyle w:val="Footer"/>
      <w:tabs>
        <w:tab w:val="clear" w:pos="9700"/>
        <w:tab w:val="right" w:pos="10206"/>
      </w:tabs>
      <w:ind w:left="-993"/>
      <w:rPr>
        <w:sz w:val="16"/>
        <w:szCs w:val="16"/>
      </w:rPr>
    </w:pPr>
  </w:p>
  <w:p w14:paraId="6685C2DE" w14:textId="77777777" w:rsidR="003A4FA4" w:rsidRDefault="003A4FA4" w:rsidP="002A3A70">
    <w:pPr>
      <w:pStyle w:val="Footer"/>
      <w:ind w:left="-993"/>
    </w:pPr>
    <w:r>
      <w:rPr>
        <w:noProof/>
      </w:rPr>
      <w:drawing>
        <wp:anchor distT="0" distB="0" distL="114300" distR="114300" simplePos="0" relativeHeight="251659776" behindDoc="1" locked="0" layoutInCell="1" allowOverlap="1" wp14:anchorId="6685C2FC" wp14:editId="6685C2FD">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6685C2DF"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EA" w14:textId="77777777" w:rsidR="003A4FA4" w:rsidRDefault="003A4FA4" w:rsidP="0029357C">
    <w:pPr>
      <w:pStyle w:val="Footer"/>
    </w:pPr>
    <w:r>
      <w:t xml:space="preserve">&lt;Customer Name&gt; &lt;Customer Project Title&gt; </w:t>
    </w:r>
  </w:p>
  <w:p w14:paraId="6685C2EB"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w:t>
    </w:r>
    <w:proofErr w:type="gramStart"/>
    <w:r>
      <w:t>Solutions :</w:t>
    </w:r>
    <w:proofErr w:type="gramEnd"/>
    <w:r>
      <w:t xml:space="preserve"> </w:t>
    </w:r>
    <w:r w:rsidRPr="00833998">
      <w:t xml:space="preserve">ISO </w:t>
    </w:r>
    <w:proofErr w:type="gramStart"/>
    <w:r w:rsidRPr="00833998">
      <w:t>9001</w:t>
    </w:r>
    <w:r>
      <w:t xml:space="preserve"> :</w:t>
    </w:r>
    <w:proofErr w:type="gramEnd"/>
    <w:r>
      <w:t xml:space="preserve"> 2000</w:t>
    </w:r>
    <w:r>
      <w:tab/>
    </w:r>
    <w:r>
      <w:tab/>
      <w:t xml:space="preserve">Page </w:t>
    </w:r>
    <w:r w:rsidR="00020FBC">
      <w:fldChar w:fldCharType="begin"/>
    </w:r>
    <w:r>
      <w:instrText xml:space="preserve"> PAGE </w:instrText>
    </w:r>
    <w:r w:rsidR="00020FBC">
      <w:fldChar w:fldCharType="separate"/>
    </w:r>
    <w:r>
      <w:rPr>
        <w:noProof/>
      </w:rPr>
      <w:t>3</w:t>
    </w:r>
    <w:r w:rsidR="00020FBC">
      <w:fldChar w:fldCharType="end"/>
    </w:r>
    <w:r>
      <w:t xml:space="preserve"> of </w:t>
    </w:r>
    <w:r w:rsidR="00020FBC">
      <w:fldChar w:fldCharType="begin"/>
    </w:r>
    <w:r w:rsidR="00723CBE">
      <w:instrText xml:space="preserve"> NUMPAGES </w:instrText>
    </w:r>
    <w:r w:rsidR="00020FBC">
      <w:fldChar w:fldCharType="separate"/>
    </w:r>
    <w:r w:rsidR="00F75763">
      <w:rPr>
        <w:noProof/>
      </w:rPr>
      <w:t>11</w:t>
    </w:r>
    <w:r w:rsidR="00020FBC">
      <w:rPr>
        <w:noProof/>
      </w:rPr>
      <w:fldChar w:fldCharType="end"/>
    </w:r>
  </w:p>
  <w:p w14:paraId="6685C2EC" w14:textId="77777777" w:rsidR="003A4FA4" w:rsidRPr="0081597A" w:rsidRDefault="003A4FA4" w:rsidP="0029357C">
    <w:pPr>
      <w:pStyle w:val="Footer"/>
    </w:pPr>
  </w:p>
  <w:p w14:paraId="6685C2ED"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615B" w14:textId="77777777" w:rsidR="009C4F1C" w:rsidRDefault="009C4F1C">
      <w:r>
        <w:separator/>
      </w:r>
    </w:p>
    <w:p w14:paraId="5930AB83" w14:textId="77777777" w:rsidR="009C4F1C" w:rsidRDefault="009C4F1C"/>
  </w:footnote>
  <w:footnote w:type="continuationSeparator" w:id="0">
    <w:p w14:paraId="521FE574" w14:textId="77777777" w:rsidR="009C4F1C" w:rsidRDefault="009C4F1C">
      <w:r>
        <w:continuationSeparator/>
      </w:r>
    </w:p>
    <w:p w14:paraId="2CB2662A" w14:textId="77777777" w:rsidR="009C4F1C" w:rsidRDefault="009C4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D5" w14:textId="77777777" w:rsidR="003A4FA4" w:rsidRPr="00506286" w:rsidRDefault="003A4FA4">
    <w:pPr>
      <w:rPr>
        <w:szCs w:val="18"/>
      </w:rPr>
    </w:pPr>
    <w:r>
      <w:rPr>
        <w:noProof/>
        <w:szCs w:val="18"/>
      </w:rPr>
      <w:drawing>
        <wp:anchor distT="0" distB="0" distL="114300" distR="114300" simplePos="0" relativeHeight="251657728" behindDoc="1" locked="0" layoutInCell="1" allowOverlap="1" wp14:anchorId="6685C2F8" wp14:editId="6685C2F9">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D8"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D9" w14:textId="77777777" w:rsidR="003A4FA4" w:rsidRDefault="003A4FA4">
    <w:pPr>
      <w:rPr>
        <w:sz w:val="16"/>
        <w:szCs w:val="16"/>
      </w:rPr>
    </w:pPr>
  </w:p>
  <w:p w14:paraId="6685C2DA" w14:textId="77777777" w:rsidR="003A4FA4" w:rsidRDefault="003A4FA4" w:rsidP="006E5DEA">
    <w:pPr>
      <w:rPr>
        <w:sz w:val="16"/>
        <w:szCs w:val="16"/>
      </w:rPr>
    </w:pPr>
    <w:r>
      <w:rPr>
        <w:noProof/>
        <w:sz w:val="16"/>
        <w:szCs w:val="16"/>
      </w:rPr>
      <w:drawing>
        <wp:anchor distT="0" distB="0" distL="114300" distR="114300" simplePos="0" relativeHeight="251665920" behindDoc="0" locked="0" layoutInCell="1" allowOverlap="1" wp14:anchorId="6685C2FA" wp14:editId="6685C2FB">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6E5DEA">
      <w:rPr>
        <w:sz w:val="16"/>
        <w:szCs w:val="16"/>
      </w:rPr>
      <w:t xml:space="preserve">Access and </w:t>
    </w:r>
    <w:r>
      <w:rPr>
        <w:sz w:val="16"/>
        <w:szCs w:val="16"/>
      </w:rPr>
      <w:t>Interconnect</w:t>
    </w:r>
    <w:r w:rsidR="005C5AE9">
      <w:rPr>
        <w:sz w:val="16"/>
        <w:szCs w:val="16"/>
      </w:rPr>
      <w:t>ion</w:t>
    </w:r>
    <w:r>
      <w:rPr>
        <w:sz w:val="16"/>
        <w:szCs w:val="16"/>
      </w:rPr>
      <w:t xml:space="preserve"> Offer</w:t>
    </w:r>
  </w:p>
  <w:p w14:paraId="6685C2DB" w14:textId="77777777" w:rsidR="003A4FA4" w:rsidRPr="006808BE" w:rsidRDefault="003A4FA4" w:rsidP="009E7219">
    <w:pPr>
      <w:rPr>
        <w:szCs w:val="18"/>
      </w:rPr>
    </w:pPr>
    <w:r>
      <w:rPr>
        <w:sz w:val="16"/>
        <w:szCs w:val="16"/>
      </w:rPr>
      <w:t>Sub Annex C</w:t>
    </w:r>
    <w:r w:rsidR="009E7219">
      <w:rPr>
        <w:sz w:val="16"/>
        <w:szCs w:val="16"/>
      </w:rPr>
      <w:t>-FI 06</w:t>
    </w:r>
    <w:r>
      <w:rPr>
        <w:sz w:val="16"/>
        <w:szCs w:val="16"/>
      </w:rPr>
      <w:t xml:space="preserve"> _ </w:t>
    </w:r>
    <w:r w:rsidR="009E7219">
      <w:rPr>
        <w:sz w:val="16"/>
        <w:szCs w:val="16"/>
      </w:rPr>
      <w:t xml:space="preserve">Calls to </w:t>
    </w:r>
    <w:r w:rsidR="0015344C">
      <w:rPr>
        <w:sz w:val="16"/>
        <w:szCs w:val="16"/>
      </w:rPr>
      <w:t xml:space="preserve">Special </w:t>
    </w:r>
    <w:r w:rsidR="009E7219">
      <w:rPr>
        <w:sz w:val="16"/>
        <w:szCs w:val="16"/>
      </w:rPr>
      <w:t>Fixed Services</w:t>
    </w:r>
    <w:r w:rsidR="00C907FC">
      <w:rPr>
        <w:sz w:val="16"/>
        <w:szCs w:val="16"/>
      </w:rPr>
      <w:t xml:space="preserve"> </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C2E0" w14:textId="77777777" w:rsidR="003A4FA4" w:rsidRPr="006808BE" w:rsidRDefault="003A4FA4" w:rsidP="0029357C">
    <w:pPr>
      <w:rPr>
        <w:szCs w:val="18"/>
      </w:rPr>
    </w:pPr>
  </w:p>
  <w:p w14:paraId="6685C2E1" w14:textId="77777777" w:rsidR="003A4FA4" w:rsidRPr="00506286" w:rsidRDefault="003A4FA4" w:rsidP="0029357C"/>
  <w:p w14:paraId="6685C2E2" w14:textId="77777777" w:rsidR="003A4FA4" w:rsidRPr="00506286" w:rsidRDefault="003A4FA4" w:rsidP="0029357C"/>
  <w:p w14:paraId="6685C2E3" w14:textId="77777777" w:rsidR="003A4FA4" w:rsidRPr="00506286" w:rsidRDefault="003A4FA4" w:rsidP="0029357C"/>
  <w:p w14:paraId="6685C2E4" w14:textId="77777777" w:rsidR="003A4FA4" w:rsidRPr="00506286" w:rsidRDefault="003A4FA4" w:rsidP="0029357C"/>
  <w:p w14:paraId="6685C2E5" w14:textId="77777777" w:rsidR="003A4FA4" w:rsidRPr="00506286" w:rsidRDefault="003A4FA4" w:rsidP="0029357C"/>
  <w:p w14:paraId="6685C2E6" w14:textId="77777777" w:rsidR="003A4FA4" w:rsidRPr="00506286" w:rsidRDefault="003A4FA4" w:rsidP="0029357C"/>
  <w:p w14:paraId="6685C2E7" w14:textId="77777777" w:rsidR="003A4FA4" w:rsidRPr="00506286" w:rsidRDefault="003A4FA4" w:rsidP="0029357C">
    <w:pPr>
      <w:rPr>
        <w:rStyle w:val="PageNumber"/>
      </w:rPr>
    </w:pPr>
  </w:p>
  <w:p w14:paraId="6685C2E8" w14:textId="77777777" w:rsidR="003A4FA4" w:rsidRPr="00506286" w:rsidRDefault="003A4FA4">
    <w:pPr>
      <w:rPr>
        <w:szCs w:val="18"/>
      </w:rPr>
    </w:pPr>
    <w:r>
      <w:rPr>
        <w:noProof/>
        <w:szCs w:val="18"/>
      </w:rPr>
      <w:drawing>
        <wp:anchor distT="0" distB="0" distL="114300" distR="114300" simplePos="0" relativeHeight="251656704" behindDoc="1" locked="0" layoutInCell="1" allowOverlap="1" wp14:anchorId="6685C2FE" wp14:editId="6685C2FF">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6685C2E9"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1972018"/>
    <w:multiLevelType w:val="hybridMultilevel"/>
    <w:tmpl w:val="BCAA43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09B8070F"/>
    <w:multiLevelType w:val="multilevel"/>
    <w:tmpl w:val="FDEAB5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5"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8"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542671E1"/>
    <w:multiLevelType w:val="multilevel"/>
    <w:tmpl w:val="2B3ACBF0"/>
    <w:lvl w:ilvl="0">
      <w:start w:val="1"/>
      <w:numFmt w:val="decimal"/>
      <w:lvlText w:val="%1"/>
      <w:lvlJc w:val="left"/>
      <w:pPr>
        <w:tabs>
          <w:tab w:val="num" w:pos="432"/>
        </w:tabs>
        <w:ind w:left="432" w:right="432" w:hanging="432"/>
      </w:pPr>
    </w:lvl>
    <w:lvl w:ilvl="1">
      <w:start w:val="1"/>
      <w:numFmt w:val="decimal"/>
      <w:lvlText w:val="%1.%2"/>
      <w:lvlJc w:val="left"/>
      <w:pPr>
        <w:tabs>
          <w:tab w:val="num" w:pos="576"/>
        </w:tabs>
        <w:ind w:left="576" w:right="576" w:hanging="576"/>
      </w:pPr>
    </w:lvl>
    <w:lvl w:ilvl="2">
      <w:start w:val="1"/>
      <w:numFmt w:val="decimal"/>
      <w:lvlText w:val="%1.%2.%3"/>
      <w:lvlJc w:val="left"/>
      <w:pPr>
        <w:tabs>
          <w:tab w:val="num" w:pos="720"/>
        </w:tabs>
        <w:ind w:left="720" w:right="720" w:hanging="720"/>
      </w:pPr>
    </w:lvl>
    <w:lvl w:ilvl="3">
      <w:start w:val="1"/>
      <w:numFmt w:val="decimal"/>
      <w:lvlText w:val="%1.%2.%3.%4"/>
      <w:lvlJc w:val="left"/>
      <w:pPr>
        <w:tabs>
          <w:tab w:val="num" w:pos="864"/>
        </w:tabs>
        <w:ind w:left="864" w:right="864" w:hanging="864"/>
      </w:pPr>
    </w:lvl>
    <w:lvl w:ilvl="4">
      <w:start w:val="1"/>
      <w:numFmt w:val="decimal"/>
      <w:lvlText w:val="%1.%2.%3.%4.%5"/>
      <w:lvlJc w:val="left"/>
      <w:pPr>
        <w:tabs>
          <w:tab w:val="num" w:pos="1008"/>
        </w:tabs>
        <w:ind w:left="1008" w:right="1008" w:hanging="1008"/>
      </w:pPr>
    </w:lvl>
    <w:lvl w:ilvl="5">
      <w:start w:val="1"/>
      <w:numFmt w:val="decimal"/>
      <w:lvlText w:val="%1.%2.%3.%4.%5.%6"/>
      <w:lvlJc w:val="left"/>
      <w:pPr>
        <w:tabs>
          <w:tab w:val="num" w:pos="1152"/>
        </w:tabs>
        <w:ind w:left="1152" w:right="1152" w:hanging="1152"/>
      </w:pPr>
    </w:lvl>
    <w:lvl w:ilvl="6">
      <w:start w:val="1"/>
      <w:numFmt w:val="decimal"/>
      <w:lvlText w:val="%1.%2.%3.%4.%5.%6.%7"/>
      <w:lvlJc w:val="left"/>
      <w:pPr>
        <w:tabs>
          <w:tab w:val="num" w:pos="1296"/>
        </w:tabs>
        <w:ind w:left="1296" w:right="1296" w:hanging="1296"/>
      </w:pPr>
    </w:lvl>
    <w:lvl w:ilvl="7">
      <w:start w:val="1"/>
      <w:numFmt w:val="decimal"/>
      <w:lvlText w:val="%1.%2.%3.%4.%5.%6.%7.%8"/>
      <w:lvlJc w:val="left"/>
      <w:pPr>
        <w:tabs>
          <w:tab w:val="num" w:pos="1440"/>
        </w:tabs>
        <w:ind w:left="1440" w:right="1440" w:hanging="1440"/>
      </w:pPr>
    </w:lvl>
    <w:lvl w:ilvl="8">
      <w:start w:val="1"/>
      <w:numFmt w:val="decimal"/>
      <w:lvlText w:val="%1.%2.%3.%4.%5.%6.%7.%8.%9"/>
      <w:lvlJc w:val="left"/>
      <w:pPr>
        <w:tabs>
          <w:tab w:val="num" w:pos="1584"/>
        </w:tabs>
        <w:ind w:left="1584" w:right="1584" w:hanging="1584"/>
      </w:pPr>
    </w:lvl>
  </w:abstractNum>
  <w:abstractNum w:abstractNumId="10" w15:restartNumberingAfterBreak="0">
    <w:nsid w:val="58E342A8"/>
    <w:multiLevelType w:val="multilevel"/>
    <w:tmpl w:val="CCCC636C"/>
    <w:lvl w:ilvl="0">
      <w:start w:val="1"/>
      <w:numFmt w:val="decimal"/>
      <w:lvlText w:val="%1."/>
      <w:lvlJc w:val="left"/>
      <w:pPr>
        <w:ind w:left="360" w:hanging="360"/>
      </w:pPr>
    </w:lvl>
    <w:lvl w:ilvl="1">
      <w:start w:val="1"/>
      <w:numFmt w:val="decimal"/>
      <w:lvlText w:val="%1.%2"/>
      <w:lvlJc w:val="left"/>
      <w:pPr>
        <w:ind w:left="576" w:hanging="576"/>
      </w:pPr>
      <w:rPr>
        <w:b w:val="0"/>
        <w:bCs/>
        <w:i w:val="0"/>
        <w:iCs w:val="0"/>
        <w:caps w:val="0"/>
        <w:smallCaps w:val="0"/>
        <w:strike w:val="0"/>
        <w:dstrike w:val="0"/>
        <w:noProof w:val="0"/>
        <w:vanish w:val="0"/>
        <w:color w:val="auto"/>
        <w:spacing w:val="0"/>
        <w:kern w:val="0"/>
        <w:position w:val="0"/>
        <w:u w:val="none"/>
        <w:effect w:val="none"/>
        <w:vertAlign w:val="baseline"/>
        <w:em w:val="none"/>
        <w:lang w:val="en-US"/>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351956882">
    <w:abstractNumId w:val="7"/>
  </w:num>
  <w:num w:numId="2" w16cid:durableId="2077506789">
    <w:abstractNumId w:val="6"/>
  </w:num>
  <w:num w:numId="3" w16cid:durableId="1739933284">
    <w:abstractNumId w:val="11"/>
  </w:num>
  <w:num w:numId="4" w16cid:durableId="115834610">
    <w:abstractNumId w:val="2"/>
  </w:num>
  <w:num w:numId="5" w16cid:durableId="1629626511">
    <w:abstractNumId w:val="4"/>
  </w:num>
  <w:num w:numId="6" w16cid:durableId="1817606120">
    <w:abstractNumId w:val="0"/>
  </w:num>
  <w:num w:numId="7" w16cid:durableId="1976593341">
    <w:abstractNumId w:val="8"/>
  </w:num>
  <w:num w:numId="8" w16cid:durableId="679508934">
    <w:abstractNumId w:val="5"/>
  </w:num>
  <w:num w:numId="9" w16cid:durableId="938148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13505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3561403">
    <w:abstractNumId w:val="1"/>
  </w:num>
  <w:num w:numId="12" w16cid:durableId="632903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214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7962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228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1407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1226210">
    <w:abstractNumId w:val="10"/>
  </w:num>
  <w:num w:numId="18" w16cid:durableId="1993757333">
    <w:abstractNumId w:val="3"/>
  </w:num>
  <w:num w:numId="19" w16cid:durableId="317923698">
    <w:abstractNumId w:val="5"/>
    <w:lvlOverride w:ilvl="0">
      <w:startOverride w:val="1"/>
    </w:lvlOverride>
  </w:num>
  <w:num w:numId="20" w16cid:durableId="895822766">
    <w:abstractNumId w:val="7"/>
  </w:num>
  <w:num w:numId="21" w16cid:durableId="1966809008">
    <w:abstractNumId w:val="7"/>
  </w:num>
  <w:num w:numId="22" w16cid:durableId="849759022">
    <w:abstractNumId w:val="7"/>
  </w:num>
  <w:num w:numId="23" w16cid:durableId="42295779">
    <w:abstractNumId w:val="9"/>
  </w:num>
  <w:num w:numId="24" w16cid:durableId="1039818230">
    <w:abstractNumId w:val="7"/>
  </w:num>
  <w:num w:numId="25" w16cid:durableId="767385099">
    <w:abstractNumId w:val="7"/>
  </w:num>
  <w:num w:numId="26" w16cid:durableId="225532114">
    <w:abstractNumId w:val="7"/>
  </w:num>
  <w:num w:numId="27" w16cid:durableId="2110662650">
    <w:abstractNumId w:val="7"/>
  </w:num>
  <w:num w:numId="28" w16cid:durableId="1633631403">
    <w:abstractNumId w:val="7"/>
  </w:num>
  <w:num w:numId="29" w16cid:durableId="1366054751">
    <w:abstractNumId w:val="7"/>
  </w:num>
  <w:num w:numId="30" w16cid:durableId="162846278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1BDD"/>
    <w:rsid w:val="000209E2"/>
    <w:rsid w:val="00020FBC"/>
    <w:rsid w:val="000250E5"/>
    <w:rsid w:val="000269EA"/>
    <w:rsid w:val="00042009"/>
    <w:rsid w:val="00047CF7"/>
    <w:rsid w:val="000869A6"/>
    <w:rsid w:val="000950EA"/>
    <w:rsid w:val="000A251E"/>
    <w:rsid w:val="000A6681"/>
    <w:rsid w:val="000A6E58"/>
    <w:rsid w:val="000B465C"/>
    <w:rsid w:val="000B5DDE"/>
    <w:rsid w:val="000D0671"/>
    <w:rsid w:val="000D4973"/>
    <w:rsid w:val="000E2E90"/>
    <w:rsid w:val="001045F9"/>
    <w:rsid w:val="00110BD4"/>
    <w:rsid w:val="00131269"/>
    <w:rsid w:val="00141748"/>
    <w:rsid w:val="00144294"/>
    <w:rsid w:val="00153406"/>
    <w:rsid w:val="0015344C"/>
    <w:rsid w:val="00156F2C"/>
    <w:rsid w:val="001B695C"/>
    <w:rsid w:val="001C1279"/>
    <w:rsid w:val="001C5CEB"/>
    <w:rsid w:val="001D1951"/>
    <w:rsid w:val="001D5211"/>
    <w:rsid w:val="001D6542"/>
    <w:rsid w:val="001E65AE"/>
    <w:rsid w:val="001F1D19"/>
    <w:rsid w:val="001F5C26"/>
    <w:rsid w:val="00204D95"/>
    <w:rsid w:val="0020748B"/>
    <w:rsid w:val="002170A3"/>
    <w:rsid w:val="00217894"/>
    <w:rsid w:val="00231695"/>
    <w:rsid w:val="0024163F"/>
    <w:rsid w:val="002542BD"/>
    <w:rsid w:val="0025566D"/>
    <w:rsid w:val="00256016"/>
    <w:rsid w:val="00257907"/>
    <w:rsid w:val="00257AE9"/>
    <w:rsid w:val="00260CC1"/>
    <w:rsid w:val="00263724"/>
    <w:rsid w:val="002871FD"/>
    <w:rsid w:val="0029357C"/>
    <w:rsid w:val="002971AF"/>
    <w:rsid w:val="002A3A70"/>
    <w:rsid w:val="002B2FED"/>
    <w:rsid w:val="002D60CE"/>
    <w:rsid w:val="002E0039"/>
    <w:rsid w:val="002E6BB6"/>
    <w:rsid w:val="002F236D"/>
    <w:rsid w:val="002F5687"/>
    <w:rsid w:val="00312F17"/>
    <w:rsid w:val="0032372B"/>
    <w:rsid w:val="00325582"/>
    <w:rsid w:val="003311EF"/>
    <w:rsid w:val="0033787D"/>
    <w:rsid w:val="00361503"/>
    <w:rsid w:val="00363A87"/>
    <w:rsid w:val="00381B0D"/>
    <w:rsid w:val="00393E4E"/>
    <w:rsid w:val="003A4FA4"/>
    <w:rsid w:val="003B1EBE"/>
    <w:rsid w:val="003C64EE"/>
    <w:rsid w:val="003C72CE"/>
    <w:rsid w:val="003E2AEF"/>
    <w:rsid w:val="003E6055"/>
    <w:rsid w:val="003F41F3"/>
    <w:rsid w:val="00404C9D"/>
    <w:rsid w:val="0040515B"/>
    <w:rsid w:val="00411C84"/>
    <w:rsid w:val="004201BC"/>
    <w:rsid w:val="0042096B"/>
    <w:rsid w:val="00441C8F"/>
    <w:rsid w:val="00447C89"/>
    <w:rsid w:val="0045251B"/>
    <w:rsid w:val="004614E4"/>
    <w:rsid w:val="004A3A69"/>
    <w:rsid w:val="004B6C9C"/>
    <w:rsid w:val="004C3B4C"/>
    <w:rsid w:val="004D4096"/>
    <w:rsid w:val="004D61A7"/>
    <w:rsid w:val="004E1484"/>
    <w:rsid w:val="004E57C7"/>
    <w:rsid w:val="004F614F"/>
    <w:rsid w:val="00513A96"/>
    <w:rsid w:val="00520855"/>
    <w:rsid w:val="0053284B"/>
    <w:rsid w:val="005458E9"/>
    <w:rsid w:val="00563129"/>
    <w:rsid w:val="005739C9"/>
    <w:rsid w:val="00581FA7"/>
    <w:rsid w:val="00582BDD"/>
    <w:rsid w:val="005842B3"/>
    <w:rsid w:val="00584774"/>
    <w:rsid w:val="00585093"/>
    <w:rsid w:val="00590805"/>
    <w:rsid w:val="005A1696"/>
    <w:rsid w:val="005A6581"/>
    <w:rsid w:val="005A6991"/>
    <w:rsid w:val="005B01B6"/>
    <w:rsid w:val="005B1874"/>
    <w:rsid w:val="005B6ECA"/>
    <w:rsid w:val="005C5AE9"/>
    <w:rsid w:val="005C5D42"/>
    <w:rsid w:val="005D1009"/>
    <w:rsid w:val="005D3715"/>
    <w:rsid w:val="005F145C"/>
    <w:rsid w:val="005F1D6D"/>
    <w:rsid w:val="005F297D"/>
    <w:rsid w:val="005F7904"/>
    <w:rsid w:val="006057E2"/>
    <w:rsid w:val="00615395"/>
    <w:rsid w:val="00620091"/>
    <w:rsid w:val="00625A34"/>
    <w:rsid w:val="006275EC"/>
    <w:rsid w:val="0064689C"/>
    <w:rsid w:val="00653575"/>
    <w:rsid w:val="0066499B"/>
    <w:rsid w:val="00670F62"/>
    <w:rsid w:val="00683778"/>
    <w:rsid w:val="006A72F0"/>
    <w:rsid w:val="006B2647"/>
    <w:rsid w:val="006B5ABD"/>
    <w:rsid w:val="006B7068"/>
    <w:rsid w:val="006C3FF6"/>
    <w:rsid w:val="006C771B"/>
    <w:rsid w:val="006D171B"/>
    <w:rsid w:val="006E5DEA"/>
    <w:rsid w:val="00713F36"/>
    <w:rsid w:val="007150B3"/>
    <w:rsid w:val="007151FA"/>
    <w:rsid w:val="00723CBE"/>
    <w:rsid w:val="0073794D"/>
    <w:rsid w:val="00742AE1"/>
    <w:rsid w:val="0074771A"/>
    <w:rsid w:val="00753A8C"/>
    <w:rsid w:val="00761CEB"/>
    <w:rsid w:val="00763A2F"/>
    <w:rsid w:val="007A04EB"/>
    <w:rsid w:val="007C29F3"/>
    <w:rsid w:val="00802795"/>
    <w:rsid w:val="008028E0"/>
    <w:rsid w:val="00807141"/>
    <w:rsid w:val="00811ACB"/>
    <w:rsid w:val="008120FB"/>
    <w:rsid w:val="00813B04"/>
    <w:rsid w:val="00820520"/>
    <w:rsid w:val="00822BA3"/>
    <w:rsid w:val="00832C79"/>
    <w:rsid w:val="00840CF2"/>
    <w:rsid w:val="008439F9"/>
    <w:rsid w:val="00855E2F"/>
    <w:rsid w:val="00866319"/>
    <w:rsid w:val="00871EA7"/>
    <w:rsid w:val="0088168C"/>
    <w:rsid w:val="00886876"/>
    <w:rsid w:val="008B0ED4"/>
    <w:rsid w:val="008B390B"/>
    <w:rsid w:val="008C2C7D"/>
    <w:rsid w:val="008D1BD5"/>
    <w:rsid w:val="008D2881"/>
    <w:rsid w:val="008E3EF7"/>
    <w:rsid w:val="008E4B60"/>
    <w:rsid w:val="008F464C"/>
    <w:rsid w:val="008F4E6C"/>
    <w:rsid w:val="0090404F"/>
    <w:rsid w:val="00912450"/>
    <w:rsid w:val="00913CCC"/>
    <w:rsid w:val="00927CE6"/>
    <w:rsid w:val="0093638D"/>
    <w:rsid w:val="00944976"/>
    <w:rsid w:val="00945B7A"/>
    <w:rsid w:val="00950480"/>
    <w:rsid w:val="00970818"/>
    <w:rsid w:val="00973BA8"/>
    <w:rsid w:val="00983291"/>
    <w:rsid w:val="00984832"/>
    <w:rsid w:val="0098721F"/>
    <w:rsid w:val="009B2585"/>
    <w:rsid w:val="009C172F"/>
    <w:rsid w:val="009C1BA0"/>
    <w:rsid w:val="009C4F1C"/>
    <w:rsid w:val="009C68C0"/>
    <w:rsid w:val="009C742C"/>
    <w:rsid w:val="009E7219"/>
    <w:rsid w:val="009E7642"/>
    <w:rsid w:val="00A240BA"/>
    <w:rsid w:val="00A241CB"/>
    <w:rsid w:val="00A334C4"/>
    <w:rsid w:val="00A34748"/>
    <w:rsid w:val="00A420CA"/>
    <w:rsid w:val="00A445E4"/>
    <w:rsid w:val="00A55C65"/>
    <w:rsid w:val="00A56DC9"/>
    <w:rsid w:val="00A65EC7"/>
    <w:rsid w:val="00A747A9"/>
    <w:rsid w:val="00A77C31"/>
    <w:rsid w:val="00A91C9C"/>
    <w:rsid w:val="00A93099"/>
    <w:rsid w:val="00A94BC5"/>
    <w:rsid w:val="00AC1287"/>
    <w:rsid w:val="00AC696C"/>
    <w:rsid w:val="00AF4D5B"/>
    <w:rsid w:val="00B04545"/>
    <w:rsid w:val="00B06762"/>
    <w:rsid w:val="00B0717F"/>
    <w:rsid w:val="00B146DA"/>
    <w:rsid w:val="00B20A4F"/>
    <w:rsid w:val="00B24F05"/>
    <w:rsid w:val="00B46F53"/>
    <w:rsid w:val="00B666C4"/>
    <w:rsid w:val="00B736A7"/>
    <w:rsid w:val="00B85937"/>
    <w:rsid w:val="00B94D42"/>
    <w:rsid w:val="00BA028E"/>
    <w:rsid w:val="00BB42D9"/>
    <w:rsid w:val="00BB5A75"/>
    <w:rsid w:val="00BD252C"/>
    <w:rsid w:val="00BD30A2"/>
    <w:rsid w:val="00BE66E3"/>
    <w:rsid w:val="00BE6F38"/>
    <w:rsid w:val="00BF01F3"/>
    <w:rsid w:val="00BF6B9A"/>
    <w:rsid w:val="00C12CC9"/>
    <w:rsid w:val="00C205A5"/>
    <w:rsid w:val="00C50BB1"/>
    <w:rsid w:val="00C55A42"/>
    <w:rsid w:val="00C67B11"/>
    <w:rsid w:val="00C74840"/>
    <w:rsid w:val="00C758DD"/>
    <w:rsid w:val="00C85DAF"/>
    <w:rsid w:val="00C907FC"/>
    <w:rsid w:val="00C95138"/>
    <w:rsid w:val="00C97085"/>
    <w:rsid w:val="00CB5B01"/>
    <w:rsid w:val="00CC1243"/>
    <w:rsid w:val="00CC65AD"/>
    <w:rsid w:val="00CD1D79"/>
    <w:rsid w:val="00CF5EB7"/>
    <w:rsid w:val="00D03410"/>
    <w:rsid w:val="00D039CD"/>
    <w:rsid w:val="00D07279"/>
    <w:rsid w:val="00D17B37"/>
    <w:rsid w:val="00D21D9F"/>
    <w:rsid w:val="00D23CF2"/>
    <w:rsid w:val="00D32396"/>
    <w:rsid w:val="00D32813"/>
    <w:rsid w:val="00D41D12"/>
    <w:rsid w:val="00D51BA0"/>
    <w:rsid w:val="00D7032F"/>
    <w:rsid w:val="00D84159"/>
    <w:rsid w:val="00D866BD"/>
    <w:rsid w:val="00D91928"/>
    <w:rsid w:val="00D94B83"/>
    <w:rsid w:val="00DA71BF"/>
    <w:rsid w:val="00DA7333"/>
    <w:rsid w:val="00DB2663"/>
    <w:rsid w:val="00DD3EF2"/>
    <w:rsid w:val="00E05FFB"/>
    <w:rsid w:val="00E06AC6"/>
    <w:rsid w:val="00E06FF7"/>
    <w:rsid w:val="00E13E22"/>
    <w:rsid w:val="00E15D23"/>
    <w:rsid w:val="00E33973"/>
    <w:rsid w:val="00E455DC"/>
    <w:rsid w:val="00E568AD"/>
    <w:rsid w:val="00E658D3"/>
    <w:rsid w:val="00E66A2A"/>
    <w:rsid w:val="00E71655"/>
    <w:rsid w:val="00E75C3A"/>
    <w:rsid w:val="00E77238"/>
    <w:rsid w:val="00E8470D"/>
    <w:rsid w:val="00E93F76"/>
    <w:rsid w:val="00EA310F"/>
    <w:rsid w:val="00EB1880"/>
    <w:rsid w:val="00EB3E25"/>
    <w:rsid w:val="00ED0E75"/>
    <w:rsid w:val="00EE005E"/>
    <w:rsid w:val="00EE77E1"/>
    <w:rsid w:val="00EF01C4"/>
    <w:rsid w:val="00EF0404"/>
    <w:rsid w:val="00F008D8"/>
    <w:rsid w:val="00F06FED"/>
    <w:rsid w:val="00F13DBC"/>
    <w:rsid w:val="00F20D3C"/>
    <w:rsid w:val="00F2549C"/>
    <w:rsid w:val="00F45EEE"/>
    <w:rsid w:val="00F51A9B"/>
    <w:rsid w:val="00F57F7A"/>
    <w:rsid w:val="00F63BAD"/>
    <w:rsid w:val="00F75763"/>
    <w:rsid w:val="00F873B9"/>
    <w:rsid w:val="00F91FBD"/>
    <w:rsid w:val="00FA2761"/>
    <w:rsid w:val="00FA67D2"/>
    <w:rsid w:val="00FB064D"/>
    <w:rsid w:val="00FB2ED5"/>
    <w:rsid w:val="00FB4D6E"/>
    <w:rsid w:val="00FE5356"/>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6685C263"/>
  <w15:docId w15:val="{4E20AE3B-ECAF-49EE-92D5-78D286CC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uiPriority w:val="99"/>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styleId="Revision">
    <w:name w:val="Revision"/>
    <w:hidden/>
    <w:uiPriority w:val="71"/>
    <w:semiHidden/>
    <w:rsid w:val="00D07279"/>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B1634-5C42-498D-A34B-625A9C1CF01E}">
  <ds:schemaRefs>
    <ds:schemaRef ds:uri="http://schemas.openxmlformats.org/officeDocument/2006/bibliography"/>
  </ds:schemaRefs>
</ds:datastoreItem>
</file>

<file path=customXml/itemProps2.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DC9CB5-36AE-492D-9F45-DE48762DC189}">
  <ds:schemaRefs>
    <ds:schemaRef ds:uri="http://schemas.microsoft.com/sharepoint/v3/contenttype/forms"/>
  </ds:schemaRefs>
</ds:datastoreItem>
</file>

<file path=customXml/itemProps4.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28</TotalTime>
  <Pages>11</Pages>
  <Words>1046</Words>
  <Characters>5358</Characters>
  <Application>Microsoft Office Word</Application>
  <DocSecurity>0</DocSecurity>
  <Lines>148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Mustafa Ahmed Al Lawati</dc:creator>
  <cp:lastModifiedBy>Omantel</cp:lastModifiedBy>
  <cp:revision>29</cp:revision>
  <cp:lastPrinted>2025-10-27T07:04:00Z</cp:lastPrinted>
  <dcterms:created xsi:type="dcterms:W3CDTF">2018-02-18T19:27:00Z</dcterms:created>
  <dcterms:modified xsi:type="dcterms:W3CDTF">2025-10-27T07:04:00Z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