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BCD9" w14:textId="77777777" w:rsidR="0029357C" w:rsidRPr="00A70C58" w:rsidRDefault="005A1A6F"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034BBD03" wp14:editId="034BBD04">
                <wp:simplePos x="0" y="0"/>
                <wp:positionH relativeFrom="page">
                  <wp:posOffset>518795</wp:posOffset>
                </wp:positionH>
                <wp:positionV relativeFrom="page">
                  <wp:posOffset>3896360</wp:posOffset>
                </wp:positionV>
                <wp:extent cx="6667500" cy="1603375"/>
                <wp:effectExtent l="0" t="0" r="0" b="0"/>
                <wp:wrapTight wrapText="bothSides">
                  <wp:wrapPolygon edited="0">
                    <wp:start x="0" y="0"/>
                    <wp:lineTo x="0" y="21557"/>
                    <wp:lineTo x="21538" y="2155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03375"/>
                        </a:xfrm>
                        <a:prstGeom prst="rect">
                          <a:avLst/>
                        </a:prstGeom>
                        <a:noFill/>
                        <a:ln>
                          <a:noFill/>
                        </a:ln>
                        <a:extLst>
                          <a:ext uri="{909E8E84-426E-40dd-AFC4-6F175D3DCCD1}"/>
                          <a:ext uri="{91240B29-F687-4f45-9708-019B960494DF}"/>
                        </a:extLst>
                      </wps:spPr>
                      <wps:txbx>
                        <w:txbxContent>
                          <w:p w14:paraId="034BBD39"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34BBD3A" w14:textId="77777777" w:rsidR="003A4FA4" w:rsidRPr="00822BA3" w:rsidRDefault="003A4FA4" w:rsidP="0004725A">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04725A">
                              <w:rPr>
                                <w:rFonts w:ascii="Helvetica" w:hAnsi="Helvetica"/>
                                <w:b w:val="0"/>
                                <w:color w:val="00559B"/>
                                <w:sz w:val="52"/>
                                <w:szCs w:val="52"/>
                              </w:rPr>
                              <w:t xml:space="preserve">Access and </w:t>
                            </w:r>
                            <w:r>
                              <w:rPr>
                                <w:rFonts w:ascii="Helvetica" w:hAnsi="Helvetica"/>
                                <w:b w:val="0"/>
                                <w:color w:val="00559B"/>
                                <w:sz w:val="52"/>
                                <w:szCs w:val="52"/>
                              </w:rPr>
                              <w:t>Interconnect</w:t>
                            </w:r>
                            <w:r w:rsidR="00AA673E">
                              <w:rPr>
                                <w:rFonts w:ascii="Helvetica" w:hAnsi="Helvetica"/>
                                <w:b w:val="0"/>
                                <w:color w:val="00559B"/>
                                <w:sz w:val="52"/>
                                <w:szCs w:val="52"/>
                              </w:rPr>
                              <w:t>ion</w:t>
                            </w:r>
                            <w:r w:rsidR="0004725A">
                              <w:rPr>
                                <w:rFonts w:ascii="Helvetica" w:hAnsi="Helvetica"/>
                                <w:b w:val="0"/>
                                <w:color w:val="00559B"/>
                                <w:sz w:val="52"/>
                                <w:szCs w:val="52"/>
                              </w:rPr>
                              <w:t xml:space="preserve"> Offer</w:t>
                            </w:r>
                            <w:r>
                              <w:rPr>
                                <w:rFonts w:ascii="Helvetica" w:hAnsi="Helvetica"/>
                                <w:b w:val="0"/>
                                <w:color w:val="00559B"/>
                                <w:sz w:val="52"/>
                                <w:szCs w:val="52"/>
                              </w:rPr>
                              <w:t xml:space="preserve"> </w:t>
                            </w:r>
                            <w:r>
                              <w:rPr>
                                <w:rFonts w:ascii="Helvetica" w:hAnsi="Helvetica"/>
                                <w:b w:val="0"/>
                                <w:color w:val="00559B"/>
                                <w:sz w:val="40"/>
                                <w:szCs w:val="40"/>
                              </w:rPr>
                              <w:t xml:space="preserve"> Annex </w:t>
                            </w:r>
                            <w:r w:rsidR="007739F1">
                              <w:rPr>
                                <w:rFonts w:ascii="Helvetica" w:hAnsi="Helvetica"/>
                                <w:b w:val="0"/>
                                <w:color w:val="00559B"/>
                                <w:sz w:val="40"/>
                                <w:szCs w:val="40"/>
                              </w:rPr>
                              <w:t>J</w:t>
                            </w:r>
                            <w:r w:rsidRPr="00B04545">
                              <w:rPr>
                                <w:rFonts w:ascii="Helvetica" w:hAnsi="Helvetica"/>
                                <w:b w:val="0"/>
                                <w:color w:val="00559B"/>
                                <w:sz w:val="40"/>
                                <w:szCs w:val="40"/>
                              </w:rPr>
                              <w:t xml:space="preserve"> </w:t>
                            </w:r>
                            <w:r w:rsidR="007739F1">
                              <w:rPr>
                                <w:rFonts w:ascii="Helvetica" w:hAnsi="Helvetica"/>
                                <w:b w:val="0"/>
                                <w:color w:val="00559B"/>
                                <w:sz w:val="40"/>
                                <w:szCs w:val="40"/>
                              </w:rPr>
                              <w:t>Non-Dosclosure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85pt;margin-top:306.8pt;width:525pt;height:12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" o:allowoverlap="f" filled="f" stroked="f">
                <v:textbox inset="0,0,0,0">
                  <w:txbxContent>
                    <w:p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rsidR="003A4FA4" w:rsidRPr="00822BA3" w:rsidRDefault="003A4FA4" w:rsidP="0004725A">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04725A">
                        <w:rPr>
                          <w:rFonts w:ascii="Helvetica" w:hAnsi="Helvetica"/>
                          <w:b w:val="0"/>
                          <w:color w:val="00559B"/>
                          <w:sz w:val="52"/>
                          <w:szCs w:val="52"/>
                        </w:rPr>
                        <w:t xml:space="preserve">Access and </w:t>
                      </w:r>
                      <w:r>
                        <w:rPr>
                          <w:rFonts w:ascii="Helvetica" w:hAnsi="Helvetica"/>
                          <w:b w:val="0"/>
                          <w:color w:val="00559B"/>
                          <w:sz w:val="52"/>
                          <w:szCs w:val="52"/>
                        </w:rPr>
                        <w:t>Interconnect</w:t>
                      </w:r>
                      <w:r w:rsidR="00AA673E">
                        <w:rPr>
                          <w:rFonts w:ascii="Helvetica" w:hAnsi="Helvetica"/>
                          <w:b w:val="0"/>
                          <w:color w:val="00559B"/>
                          <w:sz w:val="52"/>
                          <w:szCs w:val="52"/>
                        </w:rPr>
                        <w:t>ion</w:t>
                      </w:r>
                      <w:r w:rsidR="0004725A">
                        <w:rPr>
                          <w:rFonts w:ascii="Helvetica" w:hAnsi="Helvetica"/>
                          <w:b w:val="0"/>
                          <w:color w:val="00559B"/>
                          <w:sz w:val="52"/>
                          <w:szCs w:val="52"/>
                        </w:rPr>
                        <w:t xml:space="preserve"> Offer</w:t>
                      </w:r>
                      <w:r>
                        <w:rPr>
                          <w:rFonts w:ascii="Helvetica" w:hAnsi="Helvetica"/>
                          <w:b w:val="0"/>
                          <w:color w:val="00559B"/>
                          <w:sz w:val="52"/>
                          <w:szCs w:val="52"/>
                        </w:rPr>
                        <w:t xml:space="preserve"> </w:t>
                      </w:r>
                      <w:r>
                        <w:rPr>
                          <w:rFonts w:ascii="Helvetica" w:hAnsi="Helvetica"/>
                          <w:b w:val="0"/>
                          <w:color w:val="00559B"/>
                          <w:sz w:val="40"/>
                          <w:szCs w:val="40"/>
                        </w:rPr>
                        <w:t xml:space="preserve"> Annex </w:t>
                      </w:r>
                      <w:r w:rsidR="007739F1">
                        <w:rPr>
                          <w:rFonts w:ascii="Helvetica" w:hAnsi="Helvetica"/>
                          <w:b w:val="0"/>
                          <w:color w:val="00559B"/>
                          <w:sz w:val="40"/>
                          <w:szCs w:val="40"/>
                        </w:rPr>
                        <w:t>J</w:t>
                      </w:r>
                      <w:r w:rsidRPr="00B04545">
                        <w:rPr>
                          <w:rFonts w:ascii="Helvetica" w:hAnsi="Helvetica"/>
                          <w:b w:val="0"/>
                          <w:color w:val="00559B"/>
                          <w:sz w:val="40"/>
                          <w:szCs w:val="40"/>
                        </w:rPr>
                        <w:t xml:space="preserve"> </w:t>
                      </w:r>
                      <w:r w:rsidR="007739F1">
                        <w:rPr>
                          <w:rFonts w:ascii="Helvetica" w:hAnsi="Helvetica"/>
                          <w:b w:val="0"/>
                          <w:color w:val="00559B"/>
                          <w:sz w:val="40"/>
                          <w:szCs w:val="40"/>
                        </w:rPr>
                        <w:t>Non-Dosclosure Agreement</w:t>
                      </w:r>
                    </w:p>
                  </w:txbxContent>
                </v:textbox>
                <w10:wrap type="tight" anchorx="page" anchory="page"/>
              </v:shape>
            </w:pict>
          </mc:Fallback>
        </mc:AlternateContent>
      </w:r>
    </w:p>
    <w:p w14:paraId="034BBCDA" w14:textId="77777777" w:rsidR="00761CEB" w:rsidRDefault="00761CEB"/>
    <w:p w14:paraId="034BBCDB" w14:textId="77777777" w:rsidR="003F41F3" w:rsidRPr="00F2549C" w:rsidRDefault="00AB5263">
      <w:pPr>
        <w:rPr>
          <w:color w:val="4A93D1"/>
          <w:sz w:val="32"/>
          <w:szCs w:val="32"/>
          <w:u w:val="single"/>
        </w:rPr>
      </w:pPr>
      <w:r>
        <w:rPr>
          <w:color w:val="4A93D1"/>
          <w:sz w:val="32"/>
          <w:szCs w:val="32"/>
          <w:u w:val="single"/>
        </w:rPr>
        <w:t>Table of C</w:t>
      </w:r>
      <w:r w:rsidR="003F41F3" w:rsidRPr="00F2549C">
        <w:rPr>
          <w:color w:val="4A93D1"/>
          <w:sz w:val="32"/>
          <w:szCs w:val="32"/>
          <w:u w:val="single"/>
        </w:rPr>
        <w:t>ontent</w:t>
      </w:r>
      <w:r w:rsidR="00AA673E">
        <w:rPr>
          <w:color w:val="4A93D1"/>
          <w:sz w:val="32"/>
          <w:szCs w:val="32"/>
          <w:u w:val="single"/>
        </w:rPr>
        <w:t>s</w:t>
      </w:r>
    </w:p>
    <w:p w14:paraId="034BBCDC" w14:textId="77777777" w:rsidR="003F41F3" w:rsidRDefault="003F41F3">
      <w:pPr>
        <w:rPr>
          <w:rFonts w:eastAsia="Times"/>
          <w:kern w:val="32"/>
        </w:rPr>
      </w:pPr>
    </w:p>
    <w:p w14:paraId="034BBCDD" w14:textId="3226E009" w:rsidR="00DF09D5" w:rsidRDefault="000F4149">
      <w:pPr>
        <w:pStyle w:val="TOC1"/>
        <w:rPr>
          <w:rFonts w:asciiTheme="minorHAnsi" w:eastAsiaTheme="minorEastAsia" w:hAnsiTheme="minorHAnsi" w:cstheme="minorBidi"/>
          <w:b w:val="0"/>
          <w:color w:val="auto"/>
          <w:sz w:val="22"/>
          <w:szCs w:val="22"/>
        </w:rPr>
      </w:pPr>
      <w:r w:rsidRPr="00E0071E">
        <w:rPr>
          <w:b w:val="0"/>
          <w:bCs/>
        </w:rPr>
        <w:fldChar w:fldCharType="begin"/>
      </w:r>
      <w:r w:rsidR="00EF5FE8" w:rsidRPr="00E0071E">
        <w:rPr>
          <w:b w:val="0"/>
          <w:bCs/>
        </w:rPr>
        <w:instrText xml:space="preserve"> TOC \o "1-1" \h \z \u </w:instrText>
      </w:r>
      <w:r w:rsidRPr="00E0071E">
        <w:rPr>
          <w:b w:val="0"/>
          <w:bCs/>
        </w:rPr>
        <w:fldChar w:fldCharType="separate"/>
      </w:r>
      <w:hyperlink w:anchor="_Toc521162735" w:history="1">
        <w:r w:rsidR="00DF09D5" w:rsidRPr="00522347">
          <w:rPr>
            <w:rStyle w:val="Hyperlink"/>
            <w:rFonts w:cs="Times New Roman"/>
          </w:rPr>
          <w:t>1</w:t>
        </w:r>
        <w:r w:rsidR="00DF09D5">
          <w:rPr>
            <w:rFonts w:asciiTheme="minorHAnsi" w:eastAsiaTheme="minorEastAsia" w:hAnsiTheme="minorHAnsi" w:cstheme="minorBidi"/>
            <w:b w:val="0"/>
            <w:color w:val="auto"/>
            <w:sz w:val="22"/>
            <w:szCs w:val="22"/>
          </w:rPr>
          <w:tab/>
        </w:r>
        <w:r w:rsidR="00DF09D5" w:rsidRPr="00522347">
          <w:rPr>
            <w:rStyle w:val="Hyperlink"/>
          </w:rPr>
          <w:t>Definition</w:t>
        </w:r>
        <w:r w:rsidR="00DF09D5">
          <w:rPr>
            <w:webHidden/>
          </w:rPr>
          <w:tab/>
        </w:r>
        <w:r w:rsidR="00DF09D5">
          <w:rPr>
            <w:webHidden/>
          </w:rPr>
          <w:fldChar w:fldCharType="begin"/>
        </w:r>
        <w:r w:rsidR="00DF09D5">
          <w:rPr>
            <w:webHidden/>
          </w:rPr>
          <w:instrText xml:space="preserve"> PAGEREF _Toc521162735 \h </w:instrText>
        </w:r>
        <w:r w:rsidR="00DF09D5">
          <w:rPr>
            <w:webHidden/>
          </w:rPr>
        </w:r>
        <w:r w:rsidR="00DF09D5">
          <w:rPr>
            <w:webHidden/>
          </w:rPr>
          <w:fldChar w:fldCharType="separate"/>
        </w:r>
        <w:r w:rsidR="00F96993">
          <w:rPr>
            <w:webHidden/>
          </w:rPr>
          <w:t>3</w:t>
        </w:r>
        <w:r w:rsidR="00DF09D5">
          <w:rPr>
            <w:webHidden/>
          </w:rPr>
          <w:fldChar w:fldCharType="end"/>
        </w:r>
      </w:hyperlink>
    </w:p>
    <w:p w14:paraId="034BBCDE" w14:textId="38E5BA90" w:rsidR="00DF09D5" w:rsidRDefault="00DF09D5">
      <w:pPr>
        <w:pStyle w:val="TOC1"/>
        <w:rPr>
          <w:rFonts w:asciiTheme="minorHAnsi" w:eastAsiaTheme="minorEastAsia" w:hAnsiTheme="minorHAnsi" w:cstheme="minorBidi"/>
          <w:b w:val="0"/>
          <w:color w:val="auto"/>
          <w:sz w:val="22"/>
          <w:szCs w:val="22"/>
        </w:rPr>
      </w:pPr>
      <w:hyperlink w:anchor="_Toc521162736" w:history="1">
        <w:r w:rsidRPr="00522347">
          <w:rPr>
            <w:rStyle w:val="Hyperlink"/>
            <w:rFonts w:cs="Times New Roman"/>
          </w:rPr>
          <w:t>2</w:t>
        </w:r>
        <w:r>
          <w:rPr>
            <w:rFonts w:asciiTheme="minorHAnsi" w:eastAsiaTheme="minorEastAsia" w:hAnsiTheme="minorHAnsi" w:cstheme="minorBidi"/>
            <w:b w:val="0"/>
            <w:color w:val="auto"/>
            <w:sz w:val="22"/>
            <w:szCs w:val="22"/>
          </w:rPr>
          <w:tab/>
        </w:r>
        <w:r w:rsidRPr="00522347">
          <w:rPr>
            <w:rStyle w:val="Hyperlink"/>
          </w:rPr>
          <w:t>Non-Disclosure Agreement.</w:t>
        </w:r>
        <w:r>
          <w:rPr>
            <w:webHidden/>
          </w:rPr>
          <w:tab/>
        </w:r>
        <w:r>
          <w:rPr>
            <w:webHidden/>
          </w:rPr>
          <w:fldChar w:fldCharType="begin"/>
        </w:r>
        <w:r>
          <w:rPr>
            <w:webHidden/>
          </w:rPr>
          <w:instrText xml:space="preserve"> PAGEREF _Toc521162736 \h </w:instrText>
        </w:r>
        <w:r>
          <w:rPr>
            <w:webHidden/>
          </w:rPr>
        </w:r>
        <w:r>
          <w:rPr>
            <w:webHidden/>
          </w:rPr>
          <w:fldChar w:fldCharType="separate"/>
        </w:r>
        <w:r w:rsidR="00F96993">
          <w:rPr>
            <w:webHidden/>
          </w:rPr>
          <w:t>4</w:t>
        </w:r>
        <w:r>
          <w:rPr>
            <w:webHidden/>
          </w:rPr>
          <w:fldChar w:fldCharType="end"/>
        </w:r>
      </w:hyperlink>
    </w:p>
    <w:p w14:paraId="034BBCDF" w14:textId="77777777" w:rsidR="00E0071E" w:rsidRDefault="000F4149" w:rsidP="00644619">
      <w:pPr>
        <w:rPr>
          <w:bCs/>
          <w:noProof/>
          <w:color w:val="333333"/>
        </w:rPr>
      </w:pPr>
      <w:r w:rsidRPr="00E0071E">
        <w:rPr>
          <w:bCs/>
          <w:noProof/>
          <w:color w:val="333333"/>
        </w:rPr>
        <w:fldChar w:fldCharType="end"/>
      </w:r>
    </w:p>
    <w:p w14:paraId="034BBCE0" w14:textId="77777777" w:rsidR="0029357C" w:rsidRDefault="0029357C" w:rsidP="00E0071E">
      <w:pPr>
        <w:pStyle w:val="TOC1"/>
        <w:rPr>
          <w:color w:val="000000"/>
        </w:rPr>
      </w:pPr>
    </w:p>
    <w:p w14:paraId="034BBCE1" w14:textId="77777777" w:rsidR="00047CF7" w:rsidRPr="00653575" w:rsidRDefault="00047CF7" w:rsidP="0029357C">
      <w:pPr>
        <w:pStyle w:val="IndexTOC"/>
        <w:tabs>
          <w:tab w:val="right" w:pos="8805"/>
          <w:tab w:val="right" w:leader="dot" w:pos="9000"/>
        </w:tabs>
        <w:spacing w:after="120"/>
        <w:ind w:right="1882"/>
        <w:rPr>
          <w:color w:val="000000"/>
        </w:rPr>
      </w:pPr>
    </w:p>
    <w:p w14:paraId="034BBCE2" w14:textId="77777777" w:rsidR="005546CC" w:rsidRDefault="005546CC" w:rsidP="002542BD">
      <w:pPr>
        <w:pStyle w:val="Heading1"/>
      </w:pPr>
      <w:bookmarkStart w:id="0" w:name="_Toc521162735"/>
      <w:r>
        <w:lastRenderedPageBreak/>
        <w:t>Definition</w:t>
      </w:r>
      <w:bookmarkEnd w:id="0"/>
    </w:p>
    <w:p w14:paraId="034BBCE3" w14:textId="77777777" w:rsidR="005546CC" w:rsidRDefault="005546CC" w:rsidP="005546CC">
      <w:pPr>
        <w:pStyle w:val="ListParagraph"/>
      </w:pPr>
      <w:r>
        <w:t xml:space="preserve">The Definitions in Annex L shall apply to this Annex J in addition to the following definitions. </w:t>
      </w:r>
    </w:p>
    <w:p w14:paraId="034BBCE4" w14:textId="77777777" w:rsidR="005546CC" w:rsidRDefault="005546CC" w:rsidP="005546CC">
      <w:pPr>
        <w:pStyle w:val="ListParagraph2"/>
      </w:pPr>
      <w:r>
        <w:t>Owner: either party that own the information or have the information in its custody about the party or its customers.</w:t>
      </w:r>
    </w:p>
    <w:p w14:paraId="034BBCE5" w14:textId="77777777" w:rsidR="005546CC" w:rsidRPr="005546CC" w:rsidRDefault="005546CC" w:rsidP="005546CC"/>
    <w:p w14:paraId="034BBCE6" w14:textId="77777777" w:rsidR="00EA310F" w:rsidRDefault="007739F1" w:rsidP="002542BD">
      <w:pPr>
        <w:pStyle w:val="Heading1"/>
      </w:pPr>
      <w:bookmarkStart w:id="1" w:name="_Toc521162736"/>
      <w:r>
        <w:lastRenderedPageBreak/>
        <w:t>Non-Disclosure Agreement.</w:t>
      </w:r>
      <w:bookmarkEnd w:id="1"/>
      <w:r w:rsidR="00EA310F">
        <w:t xml:space="preserve"> </w:t>
      </w:r>
    </w:p>
    <w:p w14:paraId="034BBCE7" w14:textId="77777777" w:rsidR="007739F1" w:rsidRDefault="007739F1" w:rsidP="0023394C">
      <w:pPr>
        <w:pStyle w:val="ListParagraph"/>
      </w:pPr>
      <w:r>
        <w:t>Whereas, in their business</w:t>
      </w:r>
      <w:r w:rsidR="0023394C">
        <w:t>,</w:t>
      </w:r>
      <w:r>
        <w:t xml:space="preserve"> the Parties (“the Parties”) to this Agreement have valuable information and it is necessary to protect </w:t>
      </w:r>
      <w:r w:rsidR="0023394C">
        <w:t xml:space="preserve">some </w:t>
      </w:r>
      <w:r>
        <w:t>of this information as Confidential Information and as valuable trade secrets.</w:t>
      </w:r>
    </w:p>
    <w:p w14:paraId="034BBCE8" w14:textId="77777777" w:rsidR="007739F1" w:rsidRDefault="007739F1" w:rsidP="0023394C">
      <w:pPr>
        <w:pStyle w:val="ListParagraph"/>
      </w:pPr>
      <w:r>
        <w:t xml:space="preserve">Whereas, </w:t>
      </w:r>
      <w:r w:rsidR="0023394C">
        <w:t>pursuant to the performance of this Agreement,</w:t>
      </w:r>
      <w:r>
        <w:t xml:space="preserve"> either Party may become acquainted with or come into possession of Confidential Information belonging to the other Party. In such cases the Party providing this information shall be designated “the Owner”, and the Party receiving this information shall be designated “the Recipient”.</w:t>
      </w:r>
    </w:p>
    <w:p w14:paraId="034BBCE9" w14:textId="77777777" w:rsidR="007739F1" w:rsidRDefault="007739F1" w:rsidP="007739F1">
      <w:pPr>
        <w:pStyle w:val="ListParagraph"/>
      </w:pPr>
      <w:r>
        <w:t>For the purpose of this Agreement "Confidential Information" includes information of whatever nature relating to either Party or its customers which is not publicly available and which is obtained as a result of or in connection with this Agreement or the negotiations thereof or the activities of either Party in relation to the Access Agreement including without limitation information acquired either in writing, electronically or orally from or pursuant to discussions with:</w:t>
      </w:r>
    </w:p>
    <w:p w14:paraId="034BBCEA" w14:textId="77777777" w:rsidR="007739F1" w:rsidRDefault="007739F1" w:rsidP="007739F1">
      <w:pPr>
        <w:pStyle w:val="ListParagraph2"/>
      </w:pPr>
      <w:r>
        <w:t>the directors, officers or employees of either Party, and/or</w:t>
      </w:r>
    </w:p>
    <w:p w14:paraId="034BBCEB" w14:textId="77777777" w:rsidR="007739F1" w:rsidRDefault="007739F1" w:rsidP="007739F1">
      <w:pPr>
        <w:pStyle w:val="ListParagraph2"/>
      </w:pPr>
      <w:r>
        <w:t>either Party’s professional advisers;</w:t>
      </w:r>
    </w:p>
    <w:p w14:paraId="034BBCEC" w14:textId="77777777" w:rsidR="007739F1" w:rsidRDefault="007739F1" w:rsidP="007739F1">
      <w:pPr>
        <w:pStyle w:val="ListParagraph2"/>
      </w:pPr>
      <w:r>
        <w:t>analyses, compilations, studies and other documents prepared by or on behalf of either Party and of their employees or advisers;</w:t>
      </w:r>
    </w:p>
    <w:p w14:paraId="034BBCED" w14:textId="77777777" w:rsidR="007739F1" w:rsidRDefault="007739F1" w:rsidP="007739F1">
      <w:pPr>
        <w:pStyle w:val="ListParagraph2"/>
      </w:pPr>
      <w:r>
        <w:t>information of whatever nature which is not in the public domain relating to either Party obtained by observation by the other Party; and</w:t>
      </w:r>
    </w:p>
    <w:p w14:paraId="034BBCEE" w14:textId="77777777" w:rsidR="007739F1" w:rsidRDefault="007739F1" w:rsidP="00490749">
      <w:pPr>
        <w:pStyle w:val="ListParagraph2"/>
      </w:pPr>
      <w:r>
        <w:t>Confidential Information, if disclosed in writing shall be clearly marked as “Confidential” at the time of disclosure and Confidential Information, if disclosed orally shall be identified as being “Confidential” at the time of disclosure and this fact shall be confirmed by the Owner in writing within 5 working days of the disclosure.</w:t>
      </w:r>
    </w:p>
    <w:p w14:paraId="034BBCEF" w14:textId="77777777" w:rsidR="007739F1" w:rsidRDefault="007739F1" w:rsidP="007739F1">
      <w:pPr>
        <w:pStyle w:val="ListParagraph"/>
      </w:pPr>
      <w:r>
        <w:t>These terms and conditions will not apply to any Confidential Information which:</w:t>
      </w:r>
    </w:p>
    <w:p w14:paraId="034BBCF0" w14:textId="77777777" w:rsidR="007739F1" w:rsidRDefault="007739F1" w:rsidP="00A0468C">
      <w:pPr>
        <w:pStyle w:val="ListParagraph2"/>
        <w:numPr>
          <w:ilvl w:val="2"/>
          <w:numId w:val="22"/>
        </w:numPr>
      </w:pPr>
      <w:r>
        <w:lastRenderedPageBreak/>
        <w:t>is or becomes publicly available through no fault of the Recipient;</w:t>
      </w:r>
    </w:p>
    <w:p w14:paraId="034BBCF1" w14:textId="77777777" w:rsidR="007739F1" w:rsidRDefault="007739F1" w:rsidP="007739F1">
      <w:pPr>
        <w:pStyle w:val="ListParagraph2"/>
      </w:pPr>
      <w:r>
        <w:t>can be demonstrated to be already known to the Recipient at the time of disclosure;</w:t>
      </w:r>
    </w:p>
    <w:p w14:paraId="034BBCF2" w14:textId="77777777" w:rsidR="007739F1" w:rsidRDefault="007739F1" w:rsidP="007739F1">
      <w:pPr>
        <w:pStyle w:val="ListParagraph2"/>
      </w:pPr>
      <w:r>
        <w:t>information that is received without obligation of confidentiality from a Third Party who did not acquire it under an obligation of confidentiality from either Party or that is independe</w:t>
      </w:r>
      <w:r w:rsidR="00A0468C">
        <w:t>ntly developed by the Recipient; and</w:t>
      </w:r>
    </w:p>
    <w:p w14:paraId="034BBCF3" w14:textId="77777777" w:rsidR="007739F1" w:rsidRDefault="007739F1" w:rsidP="007739F1">
      <w:pPr>
        <w:pStyle w:val="ListParagraph2"/>
      </w:pPr>
      <w:r>
        <w:t>is required to be disclosed by a government regulatory body or a court or other comparable authority of competent jurisdiction.</w:t>
      </w:r>
    </w:p>
    <w:p w14:paraId="034BBCF4" w14:textId="77777777" w:rsidR="007739F1" w:rsidRPr="007739F1" w:rsidRDefault="007739F1" w:rsidP="007739F1">
      <w:pPr>
        <w:pStyle w:val="Normal0"/>
      </w:pPr>
      <w:bookmarkStart w:id="2" w:name="_Ref68141657"/>
      <w:r w:rsidRPr="007739F1">
        <w:t>Therefore, in consideration of the disclosure to each Party of Confidential Information by the other and in consideration of the mutual promises contained in this Non-Disclosure Agreement, it is agreed as follows:</w:t>
      </w:r>
      <w:bookmarkEnd w:id="2"/>
    </w:p>
    <w:p w14:paraId="034BBCF5" w14:textId="77777777" w:rsidR="007739F1" w:rsidRDefault="00A0468C" w:rsidP="007739F1">
      <w:pPr>
        <w:pStyle w:val="ListParagraph"/>
      </w:pPr>
      <w:r>
        <w:t>E</w:t>
      </w:r>
      <w:r w:rsidR="007739F1">
        <w:t>ach Party undertakes with the other that the Confidential Information shall be used by it only for the purpose of or to facilitate Access</w:t>
      </w:r>
      <w:r w:rsidR="0023394C">
        <w:t xml:space="preserve"> or Interconnection</w:t>
      </w:r>
      <w:r w:rsidR="007739F1">
        <w:t xml:space="preserve"> and for no other purposes whatsoever.</w:t>
      </w:r>
    </w:p>
    <w:p w14:paraId="034BBCF6" w14:textId="09B1E60F" w:rsidR="007739F1" w:rsidRDefault="00A0468C" w:rsidP="0033128D">
      <w:pPr>
        <w:pStyle w:val="ListParagraph"/>
      </w:pPr>
      <w:r>
        <w:t>S</w:t>
      </w:r>
      <w:r w:rsidR="007739F1">
        <w:t xml:space="preserve">ubject to </w:t>
      </w:r>
      <w:r w:rsidR="00023E5D">
        <w:t>Clause</w:t>
      </w:r>
      <w:r w:rsidR="007739F1">
        <w:t xml:space="preserve">s </w:t>
      </w:r>
      <w:r w:rsidR="000F4149">
        <w:fldChar w:fldCharType="begin"/>
      </w:r>
      <w:r w:rsidR="007739F1">
        <w:instrText xml:space="preserve"> REF _Ref68141644 \r \h  \* MERGEFORMAT </w:instrText>
      </w:r>
      <w:r w:rsidR="000F4149">
        <w:fldChar w:fldCharType="separate"/>
      </w:r>
      <w:r w:rsidR="00F96993">
        <w:t>2.7.3</w:t>
      </w:r>
      <w:r w:rsidR="000F4149">
        <w:fldChar w:fldCharType="end"/>
      </w:r>
      <w:r w:rsidR="0033128D">
        <w:t>,</w:t>
      </w:r>
      <w:r w:rsidR="007739F1">
        <w:t xml:space="preserve"> </w:t>
      </w:r>
      <w:r w:rsidR="000F4149">
        <w:fldChar w:fldCharType="begin"/>
      </w:r>
      <w:r w:rsidR="007739F1">
        <w:instrText xml:space="preserve"> REF _Ref68141770 \r \h  \* MERGEFORMAT </w:instrText>
      </w:r>
      <w:r w:rsidR="000F4149">
        <w:fldChar w:fldCharType="separate"/>
      </w:r>
      <w:r w:rsidR="00F96993">
        <w:t>2.7.6</w:t>
      </w:r>
      <w:r w:rsidR="000F4149">
        <w:fldChar w:fldCharType="end"/>
      </w:r>
      <w:r w:rsidR="007739F1">
        <w:t xml:space="preserve"> </w:t>
      </w:r>
      <w:r w:rsidR="0033128D">
        <w:t xml:space="preserve">and </w:t>
      </w:r>
      <w:r w:rsidR="0033128D">
        <w:fldChar w:fldCharType="begin"/>
      </w:r>
      <w:r w:rsidR="0033128D">
        <w:instrText xml:space="preserve"> REF _Ref465068844 \r \h </w:instrText>
      </w:r>
      <w:r w:rsidR="0033128D">
        <w:fldChar w:fldCharType="separate"/>
      </w:r>
      <w:r w:rsidR="00F96993">
        <w:t>2.7.7</w:t>
      </w:r>
      <w:r w:rsidR="0033128D">
        <w:fldChar w:fldCharType="end"/>
      </w:r>
      <w:r w:rsidR="0033128D">
        <w:t xml:space="preserve"> </w:t>
      </w:r>
      <w:r w:rsidR="007739F1">
        <w:t>below, neither Party will without the prior written consent of the other disclose or cause to be disclosed or used by any third party at any time any Confidential Information.</w:t>
      </w:r>
    </w:p>
    <w:p w14:paraId="034BBCF7" w14:textId="357E9057" w:rsidR="007739F1" w:rsidRDefault="0023394C" w:rsidP="00023E5D">
      <w:pPr>
        <w:pStyle w:val="ListParagraph"/>
      </w:pPr>
      <w:bookmarkStart w:id="3" w:name="_Ref68141670"/>
      <w:proofErr w:type="gramStart"/>
      <w:r>
        <w:t xml:space="preserve">In order </w:t>
      </w:r>
      <w:r w:rsidR="007739F1">
        <w:t>to</w:t>
      </w:r>
      <w:proofErr w:type="gramEnd"/>
      <w:r w:rsidR="007739F1">
        <w:t xml:space="preserve"> secure the confidentiality attaching to Confidential Information, each Party and those allowed access to Confidential Information pursuant to </w:t>
      </w:r>
      <w:r w:rsidR="00023E5D">
        <w:t>Clause</w:t>
      </w:r>
      <w:r w:rsidR="007739F1">
        <w:t xml:space="preserve"> </w:t>
      </w:r>
      <w:r w:rsidR="000F4149">
        <w:fldChar w:fldCharType="begin"/>
      </w:r>
      <w:r w:rsidR="007739F1">
        <w:instrText xml:space="preserve"> REF _Ref68141644 \r \h  \* MERGEFORMAT </w:instrText>
      </w:r>
      <w:r w:rsidR="000F4149">
        <w:fldChar w:fldCharType="separate"/>
      </w:r>
      <w:r w:rsidR="00F96993">
        <w:t>2.7.3</w:t>
      </w:r>
      <w:r w:rsidR="000F4149">
        <w:fldChar w:fldCharType="end"/>
      </w:r>
      <w:r w:rsidR="007739F1">
        <w:t xml:space="preserve"> below shall:</w:t>
      </w:r>
      <w:bookmarkEnd w:id="3"/>
    </w:p>
    <w:p w14:paraId="034BBCF8" w14:textId="77777777" w:rsidR="007739F1" w:rsidRDefault="007739F1" w:rsidP="00DC7E9B">
      <w:pPr>
        <w:pStyle w:val="ListParagraph2"/>
        <w:numPr>
          <w:ilvl w:val="2"/>
          <w:numId w:val="20"/>
        </w:numPr>
      </w:pPr>
      <w:bookmarkStart w:id="4" w:name="_Ref68141861"/>
      <w:r>
        <w:t>keep all documents and any other material bearing or incorporating any of the Confidential Information at the Recipient’s usual place of business</w:t>
      </w:r>
      <w:bookmarkEnd w:id="4"/>
      <w:r w:rsidR="0023394C">
        <w:t>;</w:t>
      </w:r>
    </w:p>
    <w:p w14:paraId="034BBCF9" w14:textId="77777777" w:rsidR="007739F1" w:rsidRDefault="007739F1" w:rsidP="007739F1">
      <w:pPr>
        <w:pStyle w:val="ListParagraph2"/>
      </w:pPr>
      <w:r>
        <w:t>in relation to the reproduction, transformation, or storage of any of the Confidential Information in an externally accessible computer or electronic retrieval system, shall exercise no lesser security or degree of care than that Party applies to its own Confidential Information of an equivalent nature;</w:t>
      </w:r>
    </w:p>
    <w:p w14:paraId="034BBCFA" w14:textId="77777777" w:rsidR="007739F1" w:rsidRDefault="007739F1" w:rsidP="00384A53">
      <w:pPr>
        <w:pStyle w:val="ListParagraph2"/>
      </w:pPr>
      <w:bookmarkStart w:id="5" w:name="_Ref68141644"/>
      <w:r>
        <w:t xml:space="preserve">allow access to Confidential Information exclusively to those agents, professional advisers and employees of the Recipient who have </w:t>
      </w:r>
      <w:r w:rsidR="0023394C">
        <w:t xml:space="preserve">a </w:t>
      </w:r>
      <w:r>
        <w:t xml:space="preserve">reasonable need to see and use it to facilitate </w:t>
      </w:r>
      <w:r>
        <w:lastRenderedPageBreak/>
        <w:t xml:space="preserve">Access </w:t>
      </w:r>
      <w:r w:rsidR="0023394C">
        <w:t xml:space="preserve">or Interconnection </w:t>
      </w:r>
      <w:r>
        <w:t>and shall inform each of the said agents, professional advisers and employees of</w:t>
      </w:r>
      <w:r w:rsidR="00CB506F">
        <w:t xml:space="preserve"> the confidential nature of the</w:t>
      </w:r>
      <w:r>
        <w:t xml:space="preserve"> </w:t>
      </w:r>
      <w:r w:rsidR="00CB506F">
        <w:t xml:space="preserve">Confidential </w:t>
      </w:r>
      <w:r>
        <w:t>Information and of the obligations on the Recipient in respect thereof and undertake to use all reasonable endeavors to ensure that such agents, professional advisers,  and employees honor these obligations</w:t>
      </w:r>
      <w:r w:rsidR="0023394C">
        <w:t>;</w:t>
      </w:r>
      <w:bookmarkEnd w:id="5"/>
    </w:p>
    <w:p w14:paraId="034BBCFB" w14:textId="77777777" w:rsidR="007739F1" w:rsidRDefault="007739F1" w:rsidP="007739F1">
      <w:pPr>
        <w:pStyle w:val="ListParagraph2"/>
      </w:pPr>
      <w:r>
        <w:t>on reasonable request of the Owner shall make available to the Owner, as far as reasonably practicable, the documents and other material in possession, custody or control of the Recipient that incorporate any part of the Confidential Information;</w:t>
      </w:r>
    </w:p>
    <w:p w14:paraId="034BBCFC" w14:textId="77777777" w:rsidR="007739F1" w:rsidRDefault="007739F1" w:rsidP="007739F1">
      <w:pPr>
        <w:pStyle w:val="ListParagraph2"/>
      </w:pPr>
      <w:bookmarkStart w:id="6" w:name="_Ref68141692"/>
      <w:r>
        <w:t>treat in the same manner as is agreed to treat Confidential Information, all copies of any analyses, compilations, studies or other documents prepared by it or its advisers containing or reflecting or generated from any Confidential Information;</w:t>
      </w:r>
      <w:bookmarkEnd w:id="6"/>
    </w:p>
    <w:p w14:paraId="034BBCFD" w14:textId="1ED1BBEB" w:rsidR="007739F1" w:rsidRDefault="007739F1" w:rsidP="007739F1">
      <w:pPr>
        <w:pStyle w:val="ListParagraph2"/>
      </w:pPr>
      <w:bookmarkStart w:id="7" w:name="_Ref68141770"/>
      <w:r>
        <w:t xml:space="preserve">allow access to the Confidential Information only to suppliers of the Recipient who have reasonable need to see and use this Confidential Information for the purposes of supply of services and products to the Recipient. In which case the Recipient undertakes to ensure that such suppliers comply with conditions </w:t>
      </w:r>
      <w:r w:rsidR="000F4149">
        <w:fldChar w:fldCharType="begin"/>
      </w:r>
      <w:r>
        <w:instrText xml:space="preserve"> REF _Ref68141861 \r \h  \* MERGEFORMAT </w:instrText>
      </w:r>
      <w:r w:rsidR="000F4149">
        <w:fldChar w:fldCharType="separate"/>
      </w:r>
      <w:r w:rsidR="00F96993">
        <w:t>2.7.1</w:t>
      </w:r>
      <w:r w:rsidR="000F4149">
        <w:fldChar w:fldCharType="end"/>
      </w:r>
      <w:r>
        <w:t xml:space="preserve"> to </w:t>
      </w:r>
      <w:r w:rsidR="000F4149">
        <w:fldChar w:fldCharType="begin"/>
      </w:r>
      <w:r>
        <w:instrText xml:space="preserve"> REF _Ref68141692 \r \h  \* MERGEFORMAT </w:instrText>
      </w:r>
      <w:r w:rsidR="000F4149">
        <w:fldChar w:fldCharType="separate"/>
      </w:r>
      <w:r w:rsidR="00F96993">
        <w:t>2.7.5</w:t>
      </w:r>
      <w:r w:rsidR="000F4149">
        <w:fldChar w:fldCharType="end"/>
      </w:r>
      <w:r>
        <w:t xml:space="preserve"> as described above for their use of the Confidential Information</w:t>
      </w:r>
      <w:r w:rsidR="0023394C">
        <w:t>;</w:t>
      </w:r>
      <w:bookmarkEnd w:id="7"/>
    </w:p>
    <w:p w14:paraId="034BBCFE" w14:textId="77777777" w:rsidR="0033128D" w:rsidRDefault="0033128D" w:rsidP="0033128D">
      <w:pPr>
        <w:pStyle w:val="ListParagraph2"/>
      </w:pPr>
      <w:bookmarkStart w:id="8" w:name="_Ref465068844"/>
      <w:r>
        <w:t>allow access</w:t>
      </w:r>
      <w:bookmarkEnd w:id="8"/>
      <w:r>
        <w:t xml:space="preserve"> to the Confidential Information only to the TRA or other governmental authorities.</w:t>
      </w:r>
    </w:p>
    <w:p w14:paraId="034BBCFF" w14:textId="77777777" w:rsidR="007739F1" w:rsidRDefault="007739F1" w:rsidP="007739F1">
      <w:pPr>
        <w:pStyle w:val="ListParagraph"/>
      </w:pPr>
      <w:r>
        <w:t>Each Party understands and acknowledges that neither is making any representation or warranty, express or implied as to the accuracy or completeness of the Confidential Information and neither of them will have any liability to the other or any other person resulting from the Confidential Information or its use thereof.</w:t>
      </w:r>
    </w:p>
    <w:p w14:paraId="034BBD00" w14:textId="77777777" w:rsidR="007739F1" w:rsidRDefault="007739F1" w:rsidP="005737F7">
      <w:pPr>
        <w:pStyle w:val="ListParagraph"/>
      </w:pPr>
      <w:r>
        <w:t xml:space="preserve">The Parties acknowledge and agree that damages would not be an adequate remedy for any breach of this undertaking by either of them. In the event of a breach or threatened breach of this Agreement by either Party, the other Party (“the aggrieved Party”) shall be entitled to the remedies of injunction, specific performance and other equitable relief for any threatened or actual breach of this Agreement and, without prejudice to the foregoing, the other Party agrees to indemnify the aggrieved Party against any loss, claims, damages or </w:t>
      </w:r>
      <w:r>
        <w:lastRenderedPageBreak/>
        <w:t xml:space="preserve">liabilities by it as a result of or arising out of any such breach </w:t>
      </w:r>
      <w:r w:rsidR="005737F7">
        <w:t xml:space="preserve">provided always </w:t>
      </w:r>
      <w:r>
        <w:t>such liability is limited to five hundred thousand Omani Rial (OMR 500,000) for any one event or series of connected events and one million Omani Rial (OMR 1,000,000) for all events (connected or unconnected) in any period of 12 calendar months.</w:t>
      </w:r>
    </w:p>
    <w:p w14:paraId="034BBD01" w14:textId="77777777" w:rsidR="007739F1" w:rsidRDefault="007739F1" w:rsidP="0023394C">
      <w:pPr>
        <w:pStyle w:val="ListParagraph"/>
      </w:pPr>
      <w:r>
        <w:t xml:space="preserve">Any dispute arising out of or in connection with this </w:t>
      </w:r>
      <w:r w:rsidR="0023394C">
        <w:t xml:space="preserve">Annex </w:t>
      </w:r>
      <w:r>
        <w:t>shall be finally settled by Omani Courts.</w:t>
      </w:r>
    </w:p>
    <w:p w14:paraId="034BBD02" w14:textId="77777777" w:rsidR="007739F1" w:rsidRDefault="007739F1" w:rsidP="005737F7">
      <w:pPr>
        <w:pStyle w:val="ListParagraph"/>
      </w:pPr>
      <w:r>
        <w:t xml:space="preserve">This </w:t>
      </w:r>
      <w:r w:rsidR="005737F7">
        <w:t xml:space="preserve">Annex </w:t>
      </w:r>
      <w:r>
        <w:t xml:space="preserve">shall continue and survive the completion of the purpose of this </w:t>
      </w:r>
      <w:r w:rsidR="005737F7">
        <w:t>A</w:t>
      </w:r>
      <w:r>
        <w:t>greement and shall remain binding for a period of three (3) years thereafter.</w:t>
      </w:r>
    </w:p>
    <w:sectPr w:rsidR="007739F1"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5BF1" w14:textId="77777777" w:rsidR="001B339D" w:rsidRDefault="001B339D">
      <w:r>
        <w:separator/>
      </w:r>
    </w:p>
    <w:p w14:paraId="06BB044C" w14:textId="77777777" w:rsidR="001B339D" w:rsidRDefault="001B339D"/>
  </w:endnote>
  <w:endnote w:type="continuationSeparator" w:id="0">
    <w:p w14:paraId="5B4CD073" w14:textId="77777777" w:rsidR="001B339D" w:rsidRDefault="001B339D">
      <w:r>
        <w:continuationSeparator/>
      </w:r>
    </w:p>
    <w:p w14:paraId="2CE5B5E1" w14:textId="77777777" w:rsidR="001B339D" w:rsidRDefault="001B3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0D" w14:textId="77777777" w:rsidR="003A4FA4" w:rsidRDefault="005A1A6F">
    <w:pPr>
      <w:pStyle w:val="Footer"/>
    </w:pPr>
    <w:r>
      <w:rPr>
        <w:noProof/>
      </w:rPr>
      <mc:AlternateContent>
        <mc:Choice Requires="wps">
          <w:drawing>
            <wp:anchor distT="0" distB="0" distL="114300" distR="114300" simplePos="0" relativeHeight="251664896" behindDoc="0" locked="0" layoutInCell="1" allowOverlap="1" wp14:anchorId="034BBD27" wp14:editId="034BBD28">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0C67C"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A4FA4">
      <w:rPr>
        <w:noProof/>
      </w:rPr>
      <w:drawing>
        <wp:anchor distT="0" distB="0" distL="114300" distR="114300" simplePos="0" relativeHeight="251663872" behindDoc="0" locked="0" layoutInCell="1" allowOverlap="1" wp14:anchorId="034BBD29" wp14:editId="034BBD2A">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034BBD2B" wp14:editId="034BBD2C">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065313"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rPr>
      <mc:AlternateContent>
        <mc:Choice Requires="wps">
          <w:drawing>
            <wp:anchor distT="0" distB="0" distL="114300" distR="114300" simplePos="0" relativeHeight="251660800" behindDoc="0" locked="0" layoutInCell="1" allowOverlap="1" wp14:anchorId="034BBD2D" wp14:editId="034BBD2E">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8A9912"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A4FA4">
      <w:rPr>
        <w:noProof/>
      </w:rPr>
      <w:drawing>
        <wp:inline distT="0" distB="0" distL="0" distR="0" wp14:anchorId="034BBD2F" wp14:editId="034BBD30">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0F"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034BBD10"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15"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0F4149" w:rsidRPr="002A3A70">
      <w:rPr>
        <w:sz w:val="16"/>
        <w:szCs w:val="16"/>
      </w:rPr>
      <w:fldChar w:fldCharType="begin"/>
    </w:r>
    <w:r w:rsidRPr="002A3A70">
      <w:rPr>
        <w:sz w:val="16"/>
        <w:szCs w:val="16"/>
      </w:rPr>
      <w:instrText xml:space="preserve"> PAGE </w:instrText>
    </w:r>
    <w:r w:rsidR="000F4149" w:rsidRPr="002A3A70">
      <w:rPr>
        <w:sz w:val="16"/>
        <w:szCs w:val="16"/>
      </w:rPr>
      <w:fldChar w:fldCharType="separate"/>
    </w:r>
    <w:r w:rsidR="006D4E17">
      <w:rPr>
        <w:noProof/>
        <w:sz w:val="16"/>
        <w:szCs w:val="16"/>
      </w:rPr>
      <w:t>7</w:t>
    </w:r>
    <w:r w:rsidR="000F4149" w:rsidRPr="002A3A70">
      <w:rPr>
        <w:sz w:val="16"/>
        <w:szCs w:val="16"/>
      </w:rPr>
      <w:fldChar w:fldCharType="end"/>
    </w:r>
    <w:r w:rsidRPr="002A3A70">
      <w:rPr>
        <w:sz w:val="16"/>
        <w:szCs w:val="16"/>
      </w:rPr>
      <w:t xml:space="preserve"> of </w:t>
    </w:r>
    <w:r w:rsidR="000F4149" w:rsidRPr="002A3A70">
      <w:rPr>
        <w:sz w:val="16"/>
        <w:szCs w:val="16"/>
      </w:rPr>
      <w:fldChar w:fldCharType="begin"/>
    </w:r>
    <w:r w:rsidRPr="002A3A70">
      <w:rPr>
        <w:sz w:val="16"/>
        <w:szCs w:val="16"/>
      </w:rPr>
      <w:instrText xml:space="preserve"> NUMPAGES </w:instrText>
    </w:r>
    <w:r w:rsidR="000F4149" w:rsidRPr="002A3A70">
      <w:rPr>
        <w:sz w:val="16"/>
        <w:szCs w:val="16"/>
      </w:rPr>
      <w:fldChar w:fldCharType="separate"/>
    </w:r>
    <w:r w:rsidR="006D4E17">
      <w:rPr>
        <w:noProof/>
        <w:sz w:val="16"/>
        <w:szCs w:val="16"/>
      </w:rPr>
      <w:t>7</w:t>
    </w:r>
    <w:r w:rsidR="000F4149" w:rsidRPr="002A3A70">
      <w:rPr>
        <w:sz w:val="16"/>
        <w:szCs w:val="16"/>
      </w:rPr>
      <w:fldChar w:fldCharType="end"/>
    </w:r>
  </w:p>
  <w:p w14:paraId="034BBD16" w14:textId="77777777" w:rsidR="003A4FA4" w:rsidRPr="002A3A70" w:rsidRDefault="003A4FA4" w:rsidP="002A3A70">
    <w:pPr>
      <w:pStyle w:val="Footer"/>
      <w:tabs>
        <w:tab w:val="clear" w:pos="9700"/>
        <w:tab w:val="right" w:pos="10206"/>
      </w:tabs>
      <w:ind w:left="-993"/>
      <w:rPr>
        <w:sz w:val="16"/>
        <w:szCs w:val="16"/>
      </w:rPr>
    </w:pPr>
  </w:p>
  <w:p w14:paraId="034BBD17"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034BBD35" wp14:editId="034BBD36">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034BBD18"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23" w14:textId="77777777" w:rsidR="003A4FA4" w:rsidRDefault="003A4FA4" w:rsidP="0029357C">
    <w:pPr>
      <w:pStyle w:val="Footer"/>
    </w:pPr>
    <w:r>
      <w:t xml:space="preserve">&lt;Customer Name&gt; &lt;Customer Project Title&gt; </w:t>
    </w:r>
  </w:p>
  <w:p w14:paraId="034BBD24"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0F4149">
      <w:fldChar w:fldCharType="begin"/>
    </w:r>
    <w:r>
      <w:instrText xml:space="preserve"> PAGE </w:instrText>
    </w:r>
    <w:r w:rsidR="000F4149">
      <w:fldChar w:fldCharType="separate"/>
    </w:r>
    <w:r>
      <w:rPr>
        <w:noProof/>
      </w:rPr>
      <w:t>3</w:t>
    </w:r>
    <w:r w:rsidR="000F4149">
      <w:fldChar w:fldCharType="end"/>
    </w:r>
    <w:r>
      <w:t xml:space="preserve"> of </w:t>
    </w:r>
    <w:r w:rsidR="00E24541">
      <w:fldChar w:fldCharType="begin"/>
    </w:r>
    <w:r w:rsidR="00E24541">
      <w:instrText xml:space="preserve"> NUMPAGES </w:instrText>
    </w:r>
    <w:r w:rsidR="00E24541">
      <w:fldChar w:fldCharType="separate"/>
    </w:r>
    <w:r w:rsidR="00E24541">
      <w:rPr>
        <w:noProof/>
      </w:rPr>
      <w:t>7</w:t>
    </w:r>
    <w:r w:rsidR="00E24541">
      <w:rPr>
        <w:noProof/>
      </w:rPr>
      <w:fldChar w:fldCharType="end"/>
    </w:r>
  </w:p>
  <w:p w14:paraId="034BBD25" w14:textId="77777777" w:rsidR="003A4FA4" w:rsidRPr="0081597A" w:rsidRDefault="003A4FA4" w:rsidP="0029357C">
    <w:pPr>
      <w:pStyle w:val="Footer"/>
    </w:pPr>
  </w:p>
  <w:p w14:paraId="034BBD26"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470A" w14:textId="77777777" w:rsidR="001B339D" w:rsidRDefault="001B339D">
      <w:r>
        <w:separator/>
      </w:r>
    </w:p>
    <w:p w14:paraId="6EB23661" w14:textId="77777777" w:rsidR="001B339D" w:rsidRDefault="001B339D"/>
  </w:footnote>
  <w:footnote w:type="continuationSeparator" w:id="0">
    <w:p w14:paraId="4BA460D2" w14:textId="77777777" w:rsidR="001B339D" w:rsidRDefault="001B339D">
      <w:r>
        <w:continuationSeparator/>
      </w:r>
    </w:p>
    <w:p w14:paraId="7C233A4B" w14:textId="77777777" w:rsidR="001B339D" w:rsidRDefault="001B3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0E"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034BBD31" wp14:editId="034BBD32">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11"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12" w14:textId="77777777" w:rsidR="003A4FA4" w:rsidRDefault="003A4FA4">
    <w:pPr>
      <w:rPr>
        <w:sz w:val="16"/>
        <w:szCs w:val="16"/>
      </w:rPr>
    </w:pPr>
  </w:p>
  <w:p w14:paraId="034BBD13" w14:textId="77777777" w:rsidR="003A4FA4" w:rsidRDefault="003A4FA4" w:rsidP="00814955">
    <w:pPr>
      <w:rPr>
        <w:sz w:val="16"/>
        <w:szCs w:val="16"/>
      </w:rPr>
    </w:pPr>
    <w:r>
      <w:rPr>
        <w:noProof/>
        <w:sz w:val="16"/>
        <w:szCs w:val="16"/>
      </w:rPr>
      <w:drawing>
        <wp:anchor distT="0" distB="0" distL="114300" distR="114300" simplePos="0" relativeHeight="251665920" behindDoc="0" locked="0" layoutInCell="1" allowOverlap="1" wp14:anchorId="034BBD33" wp14:editId="034BBD34">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814955">
      <w:rPr>
        <w:sz w:val="16"/>
        <w:szCs w:val="16"/>
      </w:rPr>
      <w:t xml:space="preserve">Access and </w:t>
    </w:r>
    <w:r>
      <w:rPr>
        <w:sz w:val="16"/>
        <w:szCs w:val="16"/>
      </w:rPr>
      <w:t>Interconnect</w:t>
    </w:r>
    <w:r w:rsidR="00AA673E">
      <w:rPr>
        <w:sz w:val="16"/>
        <w:szCs w:val="16"/>
      </w:rPr>
      <w:t>ion</w:t>
    </w:r>
    <w:r>
      <w:rPr>
        <w:sz w:val="16"/>
        <w:szCs w:val="16"/>
      </w:rPr>
      <w:t xml:space="preserve"> Offer</w:t>
    </w:r>
  </w:p>
  <w:p w14:paraId="034BBD14" w14:textId="77777777" w:rsidR="003A4FA4" w:rsidRPr="006808BE" w:rsidRDefault="003A4FA4" w:rsidP="00352305">
    <w:pPr>
      <w:rPr>
        <w:szCs w:val="18"/>
      </w:rPr>
    </w:pPr>
    <w:r>
      <w:rPr>
        <w:sz w:val="16"/>
        <w:szCs w:val="16"/>
      </w:rPr>
      <w:t xml:space="preserve">Annex </w:t>
    </w:r>
    <w:r w:rsidR="00352305">
      <w:rPr>
        <w:sz w:val="16"/>
        <w:szCs w:val="16"/>
      </w:rPr>
      <w:t>J</w:t>
    </w:r>
    <w:r>
      <w:rPr>
        <w:sz w:val="16"/>
        <w:szCs w:val="16"/>
      </w:rPr>
      <w:t xml:space="preserve"> _ </w:t>
    </w:r>
    <w:r w:rsidR="00352305">
      <w:rPr>
        <w:sz w:val="16"/>
        <w:szCs w:val="16"/>
      </w:rPr>
      <w:t>Non-Disclosure Agreement</w:t>
    </w:r>
    <w:r w:rsidR="00C907FC">
      <w:rPr>
        <w:sz w:val="16"/>
        <w:szCs w:val="16"/>
      </w:rPr>
      <w:t xml:space="preserve"> </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D19" w14:textId="77777777" w:rsidR="003A4FA4" w:rsidRPr="006808BE" w:rsidRDefault="003A4FA4" w:rsidP="0029357C">
    <w:pPr>
      <w:rPr>
        <w:szCs w:val="18"/>
      </w:rPr>
    </w:pPr>
  </w:p>
  <w:p w14:paraId="034BBD1A" w14:textId="77777777" w:rsidR="003A4FA4" w:rsidRPr="00506286" w:rsidRDefault="003A4FA4" w:rsidP="0029357C"/>
  <w:p w14:paraId="034BBD1B" w14:textId="77777777" w:rsidR="003A4FA4" w:rsidRPr="00506286" w:rsidRDefault="003A4FA4" w:rsidP="0029357C"/>
  <w:p w14:paraId="034BBD1C" w14:textId="77777777" w:rsidR="003A4FA4" w:rsidRPr="00506286" w:rsidRDefault="003A4FA4" w:rsidP="0029357C"/>
  <w:p w14:paraId="034BBD1D" w14:textId="77777777" w:rsidR="003A4FA4" w:rsidRPr="00506286" w:rsidRDefault="003A4FA4" w:rsidP="0029357C"/>
  <w:p w14:paraId="034BBD1E" w14:textId="77777777" w:rsidR="003A4FA4" w:rsidRPr="00506286" w:rsidRDefault="003A4FA4" w:rsidP="0029357C"/>
  <w:p w14:paraId="034BBD1F" w14:textId="77777777" w:rsidR="003A4FA4" w:rsidRPr="00506286" w:rsidRDefault="003A4FA4" w:rsidP="0029357C"/>
  <w:p w14:paraId="034BBD20" w14:textId="77777777" w:rsidR="003A4FA4" w:rsidRPr="00506286" w:rsidRDefault="003A4FA4" w:rsidP="0029357C">
    <w:pPr>
      <w:rPr>
        <w:rStyle w:val="PageNumber"/>
      </w:rPr>
    </w:pPr>
  </w:p>
  <w:p w14:paraId="034BBD21"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034BBD37" wp14:editId="034BBD38">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34BBD22"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Normal10"/>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4476C9E"/>
    <w:multiLevelType w:val="hybridMultilevel"/>
    <w:tmpl w:val="F63268E6"/>
    <w:lvl w:ilvl="0" w:tplc="A86E2624">
      <w:start w:val="1"/>
      <w:numFmt w:val="lowerRoman"/>
      <w:pStyle w:val="Normal3"/>
      <w:lvlText w:val="%1."/>
      <w:lvlJc w:val="right"/>
      <w:pPr>
        <w:ind w:left="2996" w:hanging="360"/>
      </w:p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4"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8E342A8"/>
    <w:multiLevelType w:val="multilevel"/>
    <w:tmpl w:val="987C617A"/>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395203916">
    <w:abstractNumId w:val="6"/>
  </w:num>
  <w:num w:numId="2" w16cid:durableId="888616524">
    <w:abstractNumId w:val="5"/>
  </w:num>
  <w:num w:numId="3" w16cid:durableId="1893272944">
    <w:abstractNumId w:val="9"/>
  </w:num>
  <w:num w:numId="4" w16cid:durableId="98139077">
    <w:abstractNumId w:val="1"/>
  </w:num>
  <w:num w:numId="5" w16cid:durableId="257102587">
    <w:abstractNumId w:val="2"/>
  </w:num>
  <w:num w:numId="6" w16cid:durableId="147093031">
    <w:abstractNumId w:val="0"/>
  </w:num>
  <w:num w:numId="7" w16cid:durableId="2114082725">
    <w:abstractNumId w:val="7"/>
  </w:num>
  <w:num w:numId="8" w16cid:durableId="1513766331">
    <w:abstractNumId w:val="4"/>
  </w:num>
  <w:num w:numId="9" w16cid:durableId="541209810">
    <w:abstractNumId w:val="3"/>
  </w:num>
  <w:num w:numId="10" w16cid:durableId="978076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105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791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972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564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1832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358068">
    <w:abstractNumId w:val="8"/>
  </w:num>
  <w:num w:numId="17" w16cid:durableId="262304911">
    <w:abstractNumId w:val="4"/>
    <w:lvlOverride w:ilvl="0">
      <w:startOverride w:val="1"/>
    </w:lvlOverride>
  </w:num>
  <w:num w:numId="18" w16cid:durableId="1768190913">
    <w:abstractNumId w:val="6"/>
  </w:num>
  <w:num w:numId="19" w16cid:durableId="1215240372">
    <w:abstractNumId w:val="6"/>
  </w:num>
  <w:num w:numId="20" w16cid:durableId="1193492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48716">
    <w:abstractNumId w:val="6"/>
  </w:num>
  <w:num w:numId="22" w16cid:durableId="1140466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ED6"/>
    <w:rsid w:val="000209E2"/>
    <w:rsid w:val="00023E5D"/>
    <w:rsid w:val="00042009"/>
    <w:rsid w:val="0004725A"/>
    <w:rsid w:val="00047CF7"/>
    <w:rsid w:val="00056CD6"/>
    <w:rsid w:val="000869A6"/>
    <w:rsid w:val="000950EA"/>
    <w:rsid w:val="000A251E"/>
    <w:rsid w:val="000A6E58"/>
    <w:rsid w:val="000B594A"/>
    <w:rsid w:val="000D0671"/>
    <w:rsid w:val="000E2E90"/>
    <w:rsid w:val="000F4149"/>
    <w:rsid w:val="00110BD4"/>
    <w:rsid w:val="00131269"/>
    <w:rsid w:val="00144294"/>
    <w:rsid w:val="00153406"/>
    <w:rsid w:val="0015344C"/>
    <w:rsid w:val="00153AD4"/>
    <w:rsid w:val="00173C7D"/>
    <w:rsid w:val="00177A28"/>
    <w:rsid w:val="001850AD"/>
    <w:rsid w:val="00185888"/>
    <w:rsid w:val="001B339D"/>
    <w:rsid w:val="001C5CEB"/>
    <w:rsid w:val="001D1951"/>
    <w:rsid w:val="001F1D19"/>
    <w:rsid w:val="001F5C26"/>
    <w:rsid w:val="0020748B"/>
    <w:rsid w:val="0023394C"/>
    <w:rsid w:val="002375ED"/>
    <w:rsid w:val="00243ECA"/>
    <w:rsid w:val="002542BD"/>
    <w:rsid w:val="00256016"/>
    <w:rsid w:val="00257907"/>
    <w:rsid w:val="00257AE9"/>
    <w:rsid w:val="00263724"/>
    <w:rsid w:val="0029357C"/>
    <w:rsid w:val="002A3A70"/>
    <w:rsid w:val="002A4E28"/>
    <w:rsid w:val="002B4E5F"/>
    <w:rsid w:val="002F236D"/>
    <w:rsid w:val="002F5687"/>
    <w:rsid w:val="0032372B"/>
    <w:rsid w:val="00325582"/>
    <w:rsid w:val="003311EF"/>
    <w:rsid w:val="0033128D"/>
    <w:rsid w:val="00352305"/>
    <w:rsid w:val="00361503"/>
    <w:rsid w:val="00363A87"/>
    <w:rsid w:val="003663C3"/>
    <w:rsid w:val="00384A53"/>
    <w:rsid w:val="00392A6A"/>
    <w:rsid w:val="00393E4E"/>
    <w:rsid w:val="003A4FA4"/>
    <w:rsid w:val="003B1EBE"/>
    <w:rsid w:val="003B4ECF"/>
    <w:rsid w:val="003C72CE"/>
    <w:rsid w:val="003E2AEF"/>
    <w:rsid w:val="003E6055"/>
    <w:rsid w:val="003F1AEA"/>
    <w:rsid w:val="003F41F3"/>
    <w:rsid w:val="00404C9D"/>
    <w:rsid w:val="00411C84"/>
    <w:rsid w:val="00441C8F"/>
    <w:rsid w:val="004614E4"/>
    <w:rsid w:val="00490749"/>
    <w:rsid w:val="004922D9"/>
    <w:rsid w:val="004A3A69"/>
    <w:rsid w:val="004B6C9C"/>
    <w:rsid w:val="004D61A7"/>
    <w:rsid w:val="004D7CBF"/>
    <w:rsid w:val="004E1484"/>
    <w:rsid w:val="004F614F"/>
    <w:rsid w:val="00513A96"/>
    <w:rsid w:val="00520855"/>
    <w:rsid w:val="005458E9"/>
    <w:rsid w:val="005539A8"/>
    <w:rsid w:val="005546CC"/>
    <w:rsid w:val="005737F7"/>
    <w:rsid w:val="005739C9"/>
    <w:rsid w:val="00581FA7"/>
    <w:rsid w:val="00590805"/>
    <w:rsid w:val="005A1696"/>
    <w:rsid w:val="005A1A6F"/>
    <w:rsid w:val="005A6581"/>
    <w:rsid w:val="005A6991"/>
    <w:rsid w:val="005B4D2C"/>
    <w:rsid w:val="005C5D42"/>
    <w:rsid w:val="005D3715"/>
    <w:rsid w:val="005E2B94"/>
    <w:rsid w:val="005F297D"/>
    <w:rsid w:val="005F7904"/>
    <w:rsid w:val="006057E2"/>
    <w:rsid w:val="00615395"/>
    <w:rsid w:val="00625A34"/>
    <w:rsid w:val="006275EC"/>
    <w:rsid w:val="00644619"/>
    <w:rsid w:val="0064689C"/>
    <w:rsid w:val="00653575"/>
    <w:rsid w:val="0066499B"/>
    <w:rsid w:val="00670F62"/>
    <w:rsid w:val="00671A8D"/>
    <w:rsid w:val="00683778"/>
    <w:rsid w:val="006A77A0"/>
    <w:rsid w:val="006D4E17"/>
    <w:rsid w:val="00705972"/>
    <w:rsid w:val="00713F36"/>
    <w:rsid w:val="007354C2"/>
    <w:rsid w:val="0073794D"/>
    <w:rsid w:val="0074771A"/>
    <w:rsid w:val="00761CEB"/>
    <w:rsid w:val="007739F1"/>
    <w:rsid w:val="007A04EB"/>
    <w:rsid w:val="007A250D"/>
    <w:rsid w:val="007A7457"/>
    <w:rsid w:val="007C5A06"/>
    <w:rsid w:val="0080094F"/>
    <w:rsid w:val="00811ACB"/>
    <w:rsid w:val="00814955"/>
    <w:rsid w:val="00820520"/>
    <w:rsid w:val="00822BA3"/>
    <w:rsid w:val="00826C6E"/>
    <w:rsid w:val="00832C79"/>
    <w:rsid w:val="008439F9"/>
    <w:rsid w:val="008835FF"/>
    <w:rsid w:val="008B0ED4"/>
    <w:rsid w:val="008C2C7D"/>
    <w:rsid w:val="008D712B"/>
    <w:rsid w:val="008E4B60"/>
    <w:rsid w:val="00927CE6"/>
    <w:rsid w:val="00934B08"/>
    <w:rsid w:val="0093638D"/>
    <w:rsid w:val="00944976"/>
    <w:rsid w:val="00945B7A"/>
    <w:rsid w:val="00973BA8"/>
    <w:rsid w:val="00984832"/>
    <w:rsid w:val="0098721F"/>
    <w:rsid w:val="009B2585"/>
    <w:rsid w:val="009E7642"/>
    <w:rsid w:val="00A0468C"/>
    <w:rsid w:val="00A07B2D"/>
    <w:rsid w:val="00A1357A"/>
    <w:rsid w:val="00A241CB"/>
    <w:rsid w:val="00A334C4"/>
    <w:rsid w:val="00A34748"/>
    <w:rsid w:val="00A40EB3"/>
    <w:rsid w:val="00A55451"/>
    <w:rsid w:val="00A56DC9"/>
    <w:rsid w:val="00A67D0E"/>
    <w:rsid w:val="00A77C31"/>
    <w:rsid w:val="00A91C9C"/>
    <w:rsid w:val="00AA673E"/>
    <w:rsid w:val="00AB5263"/>
    <w:rsid w:val="00AC1287"/>
    <w:rsid w:val="00AC696C"/>
    <w:rsid w:val="00AD0DEF"/>
    <w:rsid w:val="00AF4D5B"/>
    <w:rsid w:val="00B04545"/>
    <w:rsid w:val="00B0717F"/>
    <w:rsid w:val="00B146DA"/>
    <w:rsid w:val="00B24F05"/>
    <w:rsid w:val="00B34E97"/>
    <w:rsid w:val="00B46F53"/>
    <w:rsid w:val="00B666C4"/>
    <w:rsid w:val="00B736A7"/>
    <w:rsid w:val="00B94D42"/>
    <w:rsid w:val="00BB42D9"/>
    <w:rsid w:val="00BB5A75"/>
    <w:rsid w:val="00BD252C"/>
    <w:rsid w:val="00BE66E3"/>
    <w:rsid w:val="00BE6DD7"/>
    <w:rsid w:val="00BE6F38"/>
    <w:rsid w:val="00BF01F3"/>
    <w:rsid w:val="00C068AB"/>
    <w:rsid w:val="00C205A5"/>
    <w:rsid w:val="00C55A42"/>
    <w:rsid w:val="00C74840"/>
    <w:rsid w:val="00C758DD"/>
    <w:rsid w:val="00C85ED9"/>
    <w:rsid w:val="00C907FC"/>
    <w:rsid w:val="00C92B38"/>
    <w:rsid w:val="00C933DB"/>
    <w:rsid w:val="00C95138"/>
    <w:rsid w:val="00CB506F"/>
    <w:rsid w:val="00CB5B01"/>
    <w:rsid w:val="00CC65AD"/>
    <w:rsid w:val="00CD1D79"/>
    <w:rsid w:val="00D03410"/>
    <w:rsid w:val="00D039CD"/>
    <w:rsid w:val="00D17B37"/>
    <w:rsid w:val="00D21D9F"/>
    <w:rsid w:val="00D32813"/>
    <w:rsid w:val="00D3685B"/>
    <w:rsid w:val="00D36AE2"/>
    <w:rsid w:val="00D84159"/>
    <w:rsid w:val="00D866BD"/>
    <w:rsid w:val="00D91928"/>
    <w:rsid w:val="00DC7E9B"/>
    <w:rsid w:val="00DD3EF2"/>
    <w:rsid w:val="00DE4A83"/>
    <w:rsid w:val="00DF09D5"/>
    <w:rsid w:val="00E0071E"/>
    <w:rsid w:val="00E06AC6"/>
    <w:rsid w:val="00E168FE"/>
    <w:rsid w:val="00E24541"/>
    <w:rsid w:val="00E32895"/>
    <w:rsid w:val="00E33973"/>
    <w:rsid w:val="00E568AD"/>
    <w:rsid w:val="00E61328"/>
    <w:rsid w:val="00E658D3"/>
    <w:rsid w:val="00E66A2A"/>
    <w:rsid w:val="00E71655"/>
    <w:rsid w:val="00E77238"/>
    <w:rsid w:val="00E8470D"/>
    <w:rsid w:val="00E93FBB"/>
    <w:rsid w:val="00EA310F"/>
    <w:rsid w:val="00EB3E25"/>
    <w:rsid w:val="00ED0E75"/>
    <w:rsid w:val="00EE005E"/>
    <w:rsid w:val="00EE0D74"/>
    <w:rsid w:val="00EF5FE8"/>
    <w:rsid w:val="00F06FED"/>
    <w:rsid w:val="00F13DBC"/>
    <w:rsid w:val="00F1543E"/>
    <w:rsid w:val="00F20D3C"/>
    <w:rsid w:val="00F21B25"/>
    <w:rsid w:val="00F2549C"/>
    <w:rsid w:val="00F27E53"/>
    <w:rsid w:val="00F45EEE"/>
    <w:rsid w:val="00F96993"/>
    <w:rsid w:val="00FA67D2"/>
    <w:rsid w:val="00FB064D"/>
    <w:rsid w:val="00FB4D6E"/>
    <w:rsid w:val="00FC503E"/>
    <w:rsid w:val="00FE5356"/>
    <w:rsid w:val="00FE7D27"/>
    <w:rsid w:val="00FF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034BBCD9"/>
  <w15:docId w15:val="{9D6ED8ED-6D1D-4FBE-8F98-962DE06D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outlineLvl w:val="2"/>
    </w:pPr>
    <w:rPr>
      <w:rFonts w:eastAsia="Times"/>
      <w:b/>
      <w:color w:val="4A93D1"/>
      <w:lang w:val="fr-FR"/>
    </w:rPr>
  </w:style>
  <w:style w:type="paragraph" w:styleId="Heading4">
    <w:name w:val="heading 4"/>
    <w:aliases w:val="4"/>
    <w:basedOn w:val="Normal"/>
    <w:next w:val="Normal"/>
    <w:uiPriority w:val="9"/>
    <w:qFormat/>
    <w:rsid w:val="0077718F"/>
    <w:pPr>
      <w:spacing w:before="480"/>
      <w:outlineLvl w:val="3"/>
    </w:pPr>
    <w:rPr>
      <w:rFonts w:eastAsia="Times"/>
      <w:b/>
      <w:color w:val="4A93D1"/>
      <w:sz w:val="22"/>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uiPriority w:val="9"/>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rPr>
  </w:style>
  <w:style w:type="paragraph" w:styleId="EnvelopeReturn">
    <w:name w:val="envelope return"/>
    <w:basedOn w:val="Normal"/>
    <w:rsid w:val="00ED614A"/>
    <w:rPr>
      <w:rFonts w:cs="Arial"/>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pPr>
    <w:rPr>
      <w:strike/>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style>
  <w:style w:type="paragraph" w:customStyle="1" w:styleId="Header2">
    <w:name w:val="Header 2"/>
    <w:basedOn w:val="Normal"/>
    <w:link w:val="Header2Char"/>
    <w:rsid w:val="00ED614A"/>
    <w:pPr>
      <w:spacing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pPr>
    <w:rPr>
      <w:rFonts w:eastAsia="Times"/>
      <w:color w:val="808080"/>
      <w:sz w:val="36"/>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pPr>
    <w:rPr>
      <w:rFonts w:eastAsia="Times"/>
      <w:color w:val="FF0000"/>
      <w:kern w:val="28"/>
      <w:sz w:val="48"/>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ind w:left="425" w:right="1882" w:hanging="425"/>
    </w:pPr>
    <w:rPr>
      <w:rFonts w:eastAsia="Times"/>
      <w:b/>
      <w:noProof/>
      <w:color w:val="333333"/>
    </w:rPr>
  </w:style>
  <w:style w:type="paragraph" w:styleId="TOC2">
    <w:name w:val="toc 2"/>
    <w:basedOn w:val="Normal"/>
    <w:next w:val="Normal"/>
    <w:uiPriority w:val="39"/>
    <w:rsid w:val="000A27AA"/>
    <w:pPr>
      <w:tabs>
        <w:tab w:val="left" w:pos="851"/>
        <w:tab w:val="left" w:leader="dot" w:pos="1276"/>
        <w:tab w:val="right" w:leader="dot" w:pos="8805"/>
      </w:tabs>
      <w:spacing w:before="60" w:after="120"/>
      <w:ind w:left="850" w:right="1882" w:hanging="425"/>
    </w:pPr>
    <w:rPr>
      <w:rFonts w:eastAsia="Times"/>
      <w:b/>
      <w:noProof/>
      <w:color w:val="808080"/>
    </w:rPr>
  </w:style>
  <w:style w:type="paragraph" w:styleId="TOC3">
    <w:name w:val="toc 3"/>
    <w:basedOn w:val="Normal"/>
    <w:next w:val="Normal"/>
    <w:rsid w:val="007C0E4D"/>
    <w:pPr>
      <w:tabs>
        <w:tab w:val="left" w:pos="1440"/>
        <w:tab w:val="right" w:leader="dot" w:pos="8805"/>
      </w:tabs>
      <w:spacing w:before="60" w:after="120"/>
      <w:ind w:left="1276" w:right="1882" w:hanging="567"/>
    </w:pPr>
    <w:rPr>
      <w:rFonts w:eastAsia="Times"/>
      <w:noProof/>
      <w:color w:val="999999"/>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ind w:left="900"/>
    </w:pPr>
    <w:rPr>
      <w:rFonts w:ascii="Times New Roman" w:hAnsi="Times New Roman"/>
      <w:szCs w:val="18"/>
    </w:rPr>
  </w:style>
  <w:style w:type="paragraph" w:styleId="PlainText">
    <w:name w:val="Plain Text"/>
    <w:basedOn w:val="Normal"/>
    <w:rsid w:val="00ED614A"/>
    <w:rPr>
      <w:rFonts w:cs="Courier New"/>
    </w:rPr>
  </w:style>
  <w:style w:type="paragraph" w:styleId="BodyText">
    <w:name w:val="Body Text"/>
    <w:basedOn w:val="Normal"/>
    <w:rsid w:val="004A5ED2"/>
    <w:pPr>
      <w:spacing w:after="120"/>
    </w:pPr>
  </w:style>
  <w:style w:type="paragraph" w:styleId="ListBullet">
    <w:name w:val="List Bullet"/>
    <w:basedOn w:val="Normal"/>
    <w:rsid w:val="00FB6092"/>
    <w:pPr>
      <w:tabs>
        <w:tab w:val="num" w:pos="360"/>
      </w:tabs>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jc w:val="center"/>
    </w:p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cs="Arial"/>
      <w:kern w:val="16"/>
      <w:sz w:val="22"/>
    </w:rPr>
  </w:style>
  <w:style w:type="character" w:customStyle="1" w:styleId="ListParagraph2Char">
    <w:name w:val="List Paragraph2 Char"/>
    <w:basedOn w:val="ListParagraphChar"/>
    <w:link w:val="ListParagraph2"/>
    <w:rsid w:val="00D32813"/>
    <w:rPr>
      <w:rFonts w:cs="Arial"/>
      <w:kern w:val="16"/>
      <w:sz w:val="22"/>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sz w:val="22"/>
    </w:rPr>
  </w:style>
  <w:style w:type="character" w:customStyle="1" w:styleId="Normal12Char">
    <w:name w:val="Normal1.2 Char"/>
    <w:basedOn w:val="DefaultParagraphFont"/>
    <w:link w:val="Normal12"/>
    <w:rsid w:val="00811ACB"/>
    <w:rPr>
      <w:rFonts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006ED6"/>
    <w:pPr>
      <w:numPr>
        <w:numId w:val="9"/>
      </w:numPr>
      <w:ind w:left="1980"/>
    </w:pPr>
  </w:style>
  <w:style w:type="character" w:customStyle="1" w:styleId="Normal3Char">
    <w:name w:val="Normal3 Char"/>
    <w:basedOn w:val="normal2Char"/>
    <w:link w:val="Normal3"/>
    <w:rsid w:val="00006ED6"/>
    <w:rPr>
      <w:rFonts w:ascii="Helvetica" w:eastAsiaTheme="majorEastAsia" w:hAnsi="Helvetica" w:cs="Helvetica"/>
      <w:kern w:val="32"/>
      <w:sz w:val="22"/>
      <w:szCs w:val="22"/>
      <w:lang w:val="en-GB"/>
    </w:rPr>
  </w:style>
  <w:style w:type="paragraph" w:customStyle="1" w:styleId="Normal10">
    <w:name w:val="Normal1.0"/>
    <w:basedOn w:val="Heading3"/>
    <w:link w:val="Normal10Char"/>
    <w:qFormat/>
    <w:rsid w:val="00DE4A83"/>
    <w:pPr>
      <w:keepLines/>
      <w:numPr>
        <w:ilvl w:val="2"/>
        <w:numId w:val="6"/>
      </w:numPr>
      <w:autoSpaceDE w:val="0"/>
      <w:autoSpaceDN w:val="0"/>
      <w:adjustRightInd w:val="0"/>
      <w:spacing w:before="240" w:after="240" w:line="360" w:lineRule="auto"/>
      <w:ind w:left="1440"/>
      <w:jc w:val="both"/>
    </w:pPr>
    <w:rPr>
      <w:rFonts w:cs="Calibri"/>
      <w:b w:val="0"/>
      <w:bCs/>
      <w:color w:val="auto"/>
      <w:kern w:val="32"/>
      <w:sz w:val="22"/>
      <w:szCs w:val="24"/>
      <w:lang w:val="en-GB"/>
    </w:rPr>
  </w:style>
  <w:style w:type="character" w:customStyle="1" w:styleId="Normal10Char">
    <w:name w:val="Normal1.0 Char"/>
    <w:basedOn w:val="Normal1Char"/>
    <w:link w:val="Normal10"/>
    <w:rsid w:val="00DE4A83"/>
    <w:rPr>
      <w:rFonts w:ascii="Helvetica" w:eastAsia="Times" w:hAnsi="Helvetica" w:cs="Calibri"/>
      <w:bCs/>
      <w:kern w:val="32"/>
      <w:sz w:val="22"/>
      <w:szCs w:val="24"/>
      <w:lang w:val="en-GB"/>
    </w:rPr>
  </w:style>
  <w:style w:type="paragraph" w:customStyle="1" w:styleId="Normal0">
    <w:name w:val="Normal0"/>
    <w:basedOn w:val="Normal1"/>
    <w:link w:val="Normal0Char"/>
    <w:qFormat/>
    <w:rsid w:val="007739F1"/>
    <w:pPr>
      <w:tabs>
        <w:tab w:val="clear" w:pos="229"/>
        <w:tab w:val="clear" w:pos="700"/>
      </w:tabs>
      <w:autoSpaceDE w:val="0"/>
      <w:autoSpaceDN w:val="0"/>
      <w:adjustRightInd w:val="0"/>
      <w:spacing w:before="240" w:beforeAutospacing="0" w:after="240" w:afterAutospacing="0"/>
      <w:ind w:left="907"/>
    </w:pPr>
    <w:rPr>
      <w:rFonts w:eastAsiaTheme="majorEastAsia" w:cs="Calibri"/>
      <w:sz w:val="22"/>
      <w:szCs w:val="24"/>
      <w:lang w:val="en-GB"/>
    </w:rPr>
  </w:style>
  <w:style w:type="character" w:customStyle="1" w:styleId="Normal0Char">
    <w:name w:val="Normal0 Char"/>
    <w:basedOn w:val="Normal1Char"/>
    <w:link w:val="Normal0"/>
    <w:rsid w:val="007739F1"/>
    <w:rPr>
      <w:rFonts w:ascii="Helvetica" w:eastAsiaTheme="majorEastAsia" w:hAnsi="Helvetica" w:cs="Calibri"/>
      <w:kern w:val="32"/>
      <w:sz w:val="22"/>
      <w:szCs w:val="24"/>
      <w:lang w:val="en-GB"/>
    </w:rPr>
  </w:style>
  <w:style w:type="paragraph" w:customStyle="1" w:styleId="content">
    <w:name w:val="content"/>
    <w:basedOn w:val="TOC1"/>
    <w:link w:val="contentChar"/>
    <w:qFormat/>
    <w:rsid w:val="00644619"/>
    <w:pPr>
      <w:tabs>
        <w:tab w:val="clear" w:pos="425"/>
        <w:tab w:val="clear" w:pos="8805"/>
        <w:tab w:val="left" w:pos="450"/>
        <w:tab w:val="right" w:leader="dot" w:pos="8296"/>
      </w:tabs>
      <w:autoSpaceDE w:val="0"/>
      <w:autoSpaceDN w:val="0"/>
      <w:adjustRightInd w:val="0"/>
      <w:spacing w:before="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644619"/>
    <w:rPr>
      <w:rFonts w:ascii="Helvetica" w:hAnsi="Helvetica" w:cstheme="minorHAnsi"/>
      <w:bCs/>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FF0856-9DF9-44FA-8954-F8BA76AAB4AB}">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TotalTime>
  <Pages>7</Pages>
  <Words>1098</Words>
  <Characters>5922</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6987</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cp:lastModifiedBy>Omantel</cp:lastModifiedBy>
  <cp:revision>9</cp:revision>
  <cp:lastPrinted>2025-10-26T22:12:00Z</cp:lastPrinted>
  <dcterms:created xsi:type="dcterms:W3CDTF">2018-02-23T20:53:00Z</dcterms:created>
  <dcterms:modified xsi:type="dcterms:W3CDTF">2025-10-26T22:12:00Z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