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DD56" w14:textId="2E710000" w:rsidR="0029357C" w:rsidRPr="00A70C58" w:rsidRDefault="00933FCE" w:rsidP="0029357C">
      <w:pPr>
        <w:sectPr w:rsidR="0029357C" w:rsidRPr="00A70C58" w:rsidSect="002A3A70">
          <w:footerReference w:type="even" r:id="rId11"/>
          <w:footerReference w:type="default" r:id="rId12"/>
          <w:headerReference w:type="first" r:id="rId13"/>
          <w:footerReference w:type="first" r:id="rId14"/>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8240" behindDoc="0" locked="0" layoutInCell="1" allowOverlap="0" wp14:anchorId="602BF5BA" wp14:editId="2081CBB7">
                <wp:simplePos x="0" y="0"/>
                <wp:positionH relativeFrom="page">
                  <wp:posOffset>518795</wp:posOffset>
                </wp:positionH>
                <wp:positionV relativeFrom="page">
                  <wp:posOffset>3896360</wp:posOffset>
                </wp:positionV>
                <wp:extent cx="6667500" cy="1644650"/>
                <wp:effectExtent l="0" t="0" r="0" b="0"/>
                <wp:wrapTight wrapText="bothSides">
                  <wp:wrapPolygon edited="0">
                    <wp:start x="0" y="0"/>
                    <wp:lineTo x="0" y="21517"/>
                    <wp:lineTo x="21538" y="21517"/>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44650"/>
                        </a:xfrm>
                        <a:prstGeom prst="rect">
                          <a:avLst/>
                        </a:prstGeom>
                        <a:noFill/>
                        <a:ln>
                          <a:noFill/>
                        </a:ln>
                        <a:extLst>
                          <a:ext uri="{909E8E84-426E-40dd-AFC4-6F175D3DCCD1}"/>
                          <a:ext uri="{91240B29-F687-4f45-9708-019B960494DF}"/>
                        </a:extLst>
                      </wps:spPr>
                      <wps:txbx>
                        <w:txbxContent>
                          <w:p w14:paraId="383422FC"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32EFC1B" w14:textId="77777777" w:rsidR="003A4FA4" w:rsidRPr="00822BA3" w:rsidRDefault="003A4FA4" w:rsidP="00F31306">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F31306">
                              <w:rPr>
                                <w:rFonts w:ascii="Helvetica" w:hAnsi="Helvetica"/>
                                <w:b w:val="0"/>
                                <w:color w:val="00559B"/>
                                <w:sz w:val="52"/>
                                <w:szCs w:val="52"/>
                              </w:rPr>
                              <w:t xml:space="preserve">Access and </w:t>
                            </w:r>
                            <w:r>
                              <w:rPr>
                                <w:rFonts w:ascii="Helvetica" w:hAnsi="Helvetica"/>
                                <w:b w:val="0"/>
                                <w:color w:val="00559B"/>
                                <w:sz w:val="52"/>
                                <w:szCs w:val="52"/>
                              </w:rPr>
                              <w:t>Interconnect</w:t>
                            </w:r>
                            <w:r w:rsidR="007C18EE">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7D71CB">
                              <w:rPr>
                                <w:rFonts w:ascii="Helvetica" w:hAnsi="Helvetica"/>
                                <w:b w:val="0"/>
                                <w:color w:val="00559B"/>
                                <w:sz w:val="40"/>
                                <w:szCs w:val="40"/>
                              </w:rPr>
                              <w:t>F</w:t>
                            </w:r>
                            <w:r w:rsidRPr="00B04545">
                              <w:rPr>
                                <w:rFonts w:ascii="Helvetica" w:hAnsi="Helvetica"/>
                                <w:b w:val="0"/>
                                <w:color w:val="00559B"/>
                                <w:sz w:val="40"/>
                                <w:szCs w:val="40"/>
                              </w:rPr>
                              <w:t xml:space="preserve"> </w:t>
                            </w:r>
                            <w:r w:rsidR="007D71CB">
                              <w:rPr>
                                <w:rFonts w:ascii="Helvetica" w:hAnsi="Helvetica"/>
                                <w:b w:val="0"/>
                                <w:color w:val="00559B"/>
                                <w:sz w:val="40"/>
                                <w:szCs w:val="40"/>
                              </w:rPr>
                              <w:t>Forecast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BF5BA" id="_x0000_t202" coordsize="21600,21600" o:spt="202" path="m,l,21600r21600,l21600,xe">
                <v:stroke joinstyle="miter"/>
                <v:path gradientshapeok="t" o:connecttype="rect"/>
              </v:shapetype>
              <v:shape id="Text Box 7" o:spid="_x0000_s1026" type="#_x0000_t202" style="position:absolute;margin-left:40.85pt;margin-top:306.8pt;width:525pt;height:12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" o:allowoverlap="f" filled="f" stroked="f">
                <v:textbox inset="0,0,0,0">
                  <w:txbxContent>
                    <w:p w14:paraId="383422FC"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432EFC1B" w14:textId="77777777" w:rsidR="003A4FA4" w:rsidRPr="00822BA3" w:rsidRDefault="003A4FA4" w:rsidP="00F31306">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F31306">
                        <w:rPr>
                          <w:rFonts w:ascii="Helvetica" w:hAnsi="Helvetica"/>
                          <w:b w:val="0"/>
                          <w:color w:val="00559B"/>
                          <w:sz w:val="52"/>
                          <w:szCs w:val="52"/>
                        </w:rPr>
                        <w:t xml:space="preserve">Access and </w:t>
                      </w:r>
                      <w:r>
                        <w:rPr>
                          <w:rFonts w:ascii="Helvetica" w:hAnsi="Helvetica"/>
                          <w:b w:val="0"/>
                          <w:color w:val="00559B"/>
                          <w:sz w:val="52"/>
                          <w:szCs w:val="52"/>
                        </w:rPr>
                        <w:t>Interconnect</w:t>
                      </w:r>
                      <w:r w:rsidR="007C18EE">
                        <w:rPr>
                          <w:rFonts w:ascii="Helvetica" w:hAnsi="Helvetica"/>
                          <w:b w:val="0"/>
                          <w:color w:val="00559B"/>
                          <w:sz w:val="52"/>
                          <w:szCs w:val="52"/>
                        </w:rPr>
                        <w:t>ion</w:t>
                      </w:r>
                      <w:r>
                        <w:rPr>
                          <w:rFonts w:ascii="Helvetica" w:hAnsi="Helvetica"/>
                          <w:b w:val="0"/>
                          <w:color w:val="00559B"/>
                          <w:sz w:val="52"/>
                          <w:szCs w:val="52"/>
                        </w:rPr>
                        <w:t xml:space="preserve"> Offer </w:t>
                      </w:r>
                      <w:r>
                        <w:rPr>
                          <w:rFonts w:ascii="Helvetica" w:hAnsi="Helvetica"/>
                          <w:b w:val="0"/>
                          <w:color w:val="00559B"/>
                          <w:sz w:val="40"/>
                          <w:szCs w:val="40"/>
                        </w:rPr>
                        <w:t xml:space="preserve"> Annex </w:t>
                      </w:r>
                      <w:r w:rsidR="007D71CB">
                        <w:rPr>
                          <w:rFonts w:ascii="Helvetica" w:hAnsi="Helvetica"/>
                          <w:b w:val="0"/>
                          <w:color w:val="00559B"/>
                          <w:sz w:val="40"/>
                          <w:szCs w:val="40"/>
                        </w:rPr>
                        <w:t>F</w:t>
                      </w:r>
                      <w:r w:rsidRPr="00B04545">
                        <w:rPr>
                          <w:rFonts w:ascii="Helvetica" w:hAnsi="Helvetica"/>
                          <w:b w:val="0"/>
                          <w:color w:val="00559B"/>
                          <w:sz w:val="40"/>
                          <w:szCs w:val="40"/>
                        </w:rPr>
                        <w:t xml:space="preserve"> </w:t>
                      </w:r>
                      <w:r w:rsidR="007D71CB">
                        <w:rPr>
                          <w:rFonts w:ascii="Helvetica" w:hAnsi="Helvetica"/>
                          <w:b w:val="0"/>
                          <w:color w:val="00559B"/>
                          <w:sz w:val="40"/>
                          <w:szCs w:val="40"/>
                        </w:rPr>
                        <w:t>Forecast</w:t>
                      </w:r>
                    </w:p>
                  </w:txbxContent>
                </v:textbox>
                <w10:wrap type="tight" anchorx="page" anchory="page"/>
              </v:shape>
            </w:pict>
          </mc:Fallback>
        </mc:AlternateContent>
      </w:r>
    </w:p>
    <w:p w14:paraId="75B53116" w14:textId="77777777" w:rsidR="00761CEB" w:rsidRDefault="00761CEB">
      <w:pPr>
        <w:spacing w:after="0" w:line="240" w:lineRule="auto"/>
      </w:pPr>
    </w:p>
    <w:p w14:paraId="43291B25" w14:textId="77777777" w:rsidR="003F41F3" w:rsidRPr="00F2549C" w:rsidRDefault="00007D9C">
      <w:pPr>
        <w:spacing w:after="0" w:line="240" w:lineRule="auto"/>
        <w:rPr>
          <w:color w:val="4A93D1"/>
          <w:sz w:val="32"/>
          <w:szCs w:val="32"/>
          <w:u w:val="single"/>
        </w:rPr>
      </w:pPr>
      <w:r>
        <w:rPr>
          <w:color w:val="4A93D1"/>
          <w:sz w:val="32"/>
          <w:szCs w:val="32"/>
          <w:u w:val="single"/>
        </w:rPr>
        <w:t>Table of C</w:t>
      </w:r>
      <w:r w:rsidR="003F41F3" w:rsidRPr="00F2549C">
        <w:rPr>
          <w:color w:val="4A93D1"/>
          <w:sz w:val="32"/>
          <w:szCs w:val="32"/>
          <w:u w:val="single"/>
        </w:rPr>
        <w:t>ontent</w:t>
      </w:r>
      <w:r w:rsidR="007C18EE">
        <w:rPr>
          <w:color w:val="4A93D1"/>
          <w:sz w:val="32"/>
          <w:szCs w:val="32"/>
          <w:u w:val="single"/>
        </w:rPr>
        <w:t>s</w:t>
      </w:r>
    </w:p>
    <w:p w14:paraId="1B03218D" w14:textId="77777777" w:rsidR="003F41F3" w:rsidRDefault="003F41F3">
      <w:pPr>
        <w:spacing w:after="0" w:line="240" w:lineRule="auto"/>
        <w:rPr>
          <w:rFonts w:eastAsia="Times"/>
          <w:kern w:val="32"/>
          <w:sz w:val="24"/>
        </w:rPr>
      </w:pPr>
    </w:p>
    <w:p w14:paraId="07DA829D" w14:textId="7F623BB2" w:rsidR="00237863" w:rsidRDefault="00587509">
      <w:pPr>
        <w:pStyle w:val="TOC1"/>
        <w:rPr>
          <w:rFonts w:asciiTheme="minorHAnsi" w:eastAsiaTheme="minorEastAsia" w:hAnsiTheme="minorHAnsi" w:cstheme="minorBidi"/>
          <w:b w:val="0"/>
          <w:color w:val="auto"/>
          <w:kern w:val="2"/>
          <w:szCs w:val="24"/>
          <w14:ligatures w14:val="standardContextual"/>
        </w:rPr>
      </w:pPr>
      <w:r>
        <w:rPr>
          <w:bCs/>
        </w:rPr>
        <w:fldChar w:fldCharType="begin"/>
      </w:r>
      <w:r w:rsidR="009C405D">
        <w:rPr>
          <w:bCs/>
        </w:rPr>
        <w:instrText xml:space="preserve"> TOC \o "1-1" \h \z \u </w:instrText>
      </w:r>
      <w:r>
        <w:rPr>
          <w:bCs/>
        </w:rPr>
        <w:fldChar w:fldCharType="separate"/>
      </w:r>
      <w:hyperlink w:anchor="_Toc212371983" w:history="1">
        <w:r w:rsidR="00237863" w:rsidRPr="00981A41">
          <w:rPr>
            <w:rStyle w:val="Hyperlink"/>
          </w:rPr>
          <w:t>1</w:t>
        </w:r>
        <w:r w:rsidR="00237863">
          <w:rPr>
            <w:rFonts w:asciiTheme="minorHAnsi" w:eastAsiaTheme="minorEastAsia" w:hAnsiTheme="minorHAnsi" w:cstheme="minorBidi"/>
            <w:b w:val="0"/>
            <w:color w:val="auto"/>
            <w:kern w:val="2"/>
            <w:szCs w:val="24"/>
            <w14:ligatures w14:val="standardContextual"/>
          </w:rPr>
          <w:tab/>
        </w:r>
        <w:r w:rsidR="00237863" w:rsidRPr="00981A41">
          <w:rPr>
            <w:rStyle w:val="Hyperlink"/>
          </w:rPr>
          <w:t>General</w:t>
        </w:r>
        <w:r w:rsidR="00237863">
          <w:rPr>
            <w:webHidden/>
          </w:rPr>
          <w:tab/>
        </w:r>
        <w:r w:rsidR="00237863">
          <w:rPr>
            <w:webHidden/>
          </w:rPr>
          <w:fldChar w:fldCharType="begin"/>
        </w:r>
        <w:r w:rsidR="00237863">
          <w:rPr>
            <w:webHidden/>
          </w:rPr>
          <w:instrText xml:space="preserve"> PAGEREF _Toc212371983 \h </w:instrText>
        </w:r>
        <w:r w:rsidR="00237863">
          <w:rPr>
            <w:webHidden/>
          </w:rPr>
        </w:r>
        <w:r w:rsidR="00237863">
          <w:rPr>
            <w:webHidden/>
          </w:rPr>
          <w:fldChar w:fldCharType="separate"/>
        </w:r>
        <w:r w:rsidR="00500F9D">
          <w:rPr>
            <w:webHidden/>
          </w:rPr>
          <w:t>3</w:t>
        </w:r>
        <w:r w:rsidR="00237863">
          <w:rPr>
            <w:webHidden/>
          </w:rPr>
          <w:fldChar w:fldCharType="end"/>
        </w:r>
      </w:hyperlink>
    </w:p>
    <w:p w14:paraId="64D1685F" w14:textId="14D6F7FA" w:rsidR="00237863" w:rsidRDefault="00237863">
      <w:pPr>
        <w:pStyle w:val="TOC1"/>
        <w:rPr>
          <w:rFonts w:asciiTheme="minorHAnsi" w:eastAsiaTheme="minorEastAsia" w:hAnsiTheme="minorHAnsi" w:cstheme="minorBidi"/>
          <w:b w:val="0"/>
          <w:color w:val="auto"/>
          <w:kern w:val="2"/>
          <w:szCs w:val="24"/>
          <w14:ligatures w14:val="standardContextual"/>
        </w:rPr>
      </w:pPr>
      <w:hyperlink w:anchor="_Toc212371984" w:history="1">
        <w:r w:rsidRPr="00981A41">
          <w:rPr>
            <w:rStyle w:val="Hyperlink"/>
          </w:rPr>
          <w:t>2</w:t>
        </w:r>
        <w:r>
          <w:rPr>
            <w:rFonts w:asciiTheme="minorHAnsi" w:eastAsiaTheme="minorEastAsia" w:hAnsiTheme="minorHAnsi" w:cstheme="minorBidi"/>
            <w:b w:val="0"/>
            <w:color w:val="auto"/>
            <w:kern w:val="2"/>
            <w:szCs w:val="24"/>
            <w14:ligatures w14:val="standardContextual"/>
          </w:rPr>
          <w:tab/>
        </w:r>
        <w:r w:rsidRPr="00981A41">
          <w:rPr>
            <w:rStyle w:val="Hyperlink"/>
          </w:rPr>
          <w:t>Definition</w:t>
        </w:r>
        <w:r>
          <w:rPr>
            <w:webHidden/>
          </w:rPr>
          <w:tab/>
        </w:r>
        <w:r>
          <w:rPr>
            <w:webHidden/>
          </w:rPr>
          <w:fldChar w:fldCharType="begin"/>
        </w:r>
        <w:r>
          <w:rPr>
            <w:webHidden/>
          </w:rPr>
          <w:instrText xml:space="preserve"> PAGEREF _Toc212371984 \h </w:instrText>
        </w:r>
        <w:r>
          <w:rPr>
            <w:webHidden/>
          </w:rPr>
        </w:r>
        <w:r>
          <w:rPr>
            <w:webHidden/>
          </w:rPr>
          <w:fldChar w:fldCharType="separate"/>
        </w:r>
        <w:r w:rsidR="00500F9D">
          <w:rPr>
            <w:webHidden/>
          </w:rPr>
          <w:t>5</w:t>
        </w:r>
        <w:r>
          <w:rPr>
            <w:webHidden/>
          </w:rPr>
          <w:fldChar w:fldCharType="end"/>
        </w:r>
      </w:hyperlink>
    </w:p>
    <w:p w14:paraId="509DEC36" w14:textId="47F58EB0" w:rsidR="00237863" w:rsidRDefault="00237863">
      <w:pPr>
        <w:pStyle w:val="TOC1"/>
        <w:rPr>
          <w:rFonts w:asciiTheme="minorHAnsi" w:eastAsiaTheme="minorEastAsia" w:hAnsiTheme="minorHAnsi" w:cstheme="minorBidi"/>
          <w:b w:val="0"/>
          <w:color w:val="auto"/>
          <w:kern w:val="2"/>
          <w:szCs w:val="24"/>
          <w14:ligatures w14:val="standardContextual"/>
        </w:rPr>
      </w:pPr>
      <w:hyperlink w:anchor="_Toc212371985" w:history="1">
        <w:r w:rsidRPr="00981A41">
          <w:rPr>
            <w:rStyle w:val="Hyperlink"/>
          </w:rPr>
          <w:t>3</w:t>
        </w:r>
        <w:r>
          <w:rPr>
            <w:rFonts w:asciiTheme="minorHAnsi" w:eastAsiaTheme="minorEastAsia" w:hAnsiTheme="minorHAnsi" w:cstheme="minorBidi"/>
            <w:b w:val="0"/>
            <w:color w:val="auto"/>
            <w:kern w:val="2"/>
            <w:szCs w:val="24"/>
            <w14:ligatures w14:val="standardContextual"/>
          </w:rPr>
          <w:tab/>
        </w:r>
        <w:r w:rsidRPr="00981A41">
          <w:rPr>
            <w:rStyle w:val="Hyperlink"/>
          </w:rPr>
          <w:t>Forecast Minimum Commitment</w:t>
        </w:r>
        <w:r>
          <w:rPr>
            <w:webHidden/>
          </w:rPr>
          <w:tab/>
        </w:r>
        <w:r>
          <w:rPr>
            <w:webHidden/>
          </w:rPr>
          <w:fldChar w:fldCharType="begin"/>
        </w:r>
        <w:r>
          <w:rPr>
            <w:webHidden/>
          </w:rPr>
          <w:instrText xml:space="preserve"> PAGEREF _Toc212371985 \h </w:instrText>
        </w:r>
        <w:r>
          <w:rPr>
            <w:webHidden/>
          </w:rPr>
        </w:r>
        <w:r>
          <w:rPr>
            <w:webHidden/>
          </w:rPr>
          <w:fldChar w:fldCharType="separate"/>
        </w:r>
        <w:r w:rsidR="00500F9D">
          <w:rPr>
            <w:webHidden/>
          </w:rPr>
          <w:t>6</w:t>
        </w:r>
        <w:r>
          <w:rPr>
            <w:webHidden/>
          </w:rPr>
          <w:fldChar w:fldCharType="end"/>
        </w:r>
      </w:hyperlink>
    </w:p>
    <w:p w14:paraId="557BBC71" w14:textId="0657B8E9" w:rsidR="00237863" w:rsidRDefault="00237863">
      <w:pPr>
        <w:pStyle w:val="TOC1"/>
        <w:rPr>
          <w:rFonts w:asciiTheme="minorHAnsi" w:eastAsiaTheme="minorEastAsia" w:hAnsiTheme="minorHAnsi" w:cstheme="minorBidi"/>
          <w:b w:val="0"/>
          <w:color w:val="auto"/>
          <w:kern w:val="2"/>
          <w:szCs w:val="24"/>
          <w14:ligatures w14:val="standardContextual"/>
        </w:rPr>
      </w:pPr>
      <w:hyperlink w:anchor="_Toc212371986" w:history="1">
        <w:r w:rsidRPr="00981A41">
          <w:rPr>
            <w:rStyle w:val="Hyperlink"/>
          </w:rPr>
          <w:t>4</w:t>
        </w:r>
        <w:r>
          <w:rPr>
            <w:rFonts w:asciiTheme="minorHAnsi" w:eastAsiaTheme="minorEastAsia" w:hAnsiTheme="minorHAnsi" w:cstheme="minorBidi"/>
            <w:b w:val="0"/>
            <w:color w:val="auto"/>
            <w:kern w:val="2"/>
            <w:szCs w:val="24"/>
            <w14:ligatures w14:val="standardContextual"/>
          </w:rPr>
          <w:tab/>
        </w:r>
        <w:r w:rsidRPr="00981A41">
          <w:rPr>
            <w:rStyle w:val="Hyperlink"/>
          </w:rPr>
          <w:t>Actuals Exceeding Forecast</w:t>
        </w:r>
        <w:r>
          <w:rPr>
            <w:webHidden/>
          </w:rPr>
          <w:tab/>
        </w:r>
        <w:r>
          <w:rPr>
            <w:webHidden/>
          </w:rPr>
          <w:fldChar w:fldCharType="begin"/>
        </w:r>
        <w:r>
          <w:rPr>
            <w:webHidden/>
          </w:rPr>
          <w:instrText xml:space="preserve"> PAGEREF _Toc212371986 \h </w:instrText>
        </w:r>
        <w:r>
          <w:rPr>
            <w:webHidden/>
          </w:rPr>
        </w:r>
        <w:r>
          <w:rPr>
            <w:webHidden/>
          </w:rPr>
          <w:fldChar w:fldCharType="separate"/>
        </w:r>
        <w:r w:rsidR="00500F9D">
          <w:rPr>
            <w:webHidden/>
          </w:rPr>
          <w:t>7</w:t>
        </w:r>
        <w:r>
          <w:rPr>
            <w:webHidden/>
          </w:rPr>
          <w:fldChar w:fldCharType="end"/>
        </w:r>
      </w:hyperlink>
    </w:p>
    <w:p w14:paraId="56CAE50D" w14:textId="06F91950" w:rsidR="0029357C" w:rsidRDefault="00587509" w:rsidP="00325582">
      <w:pPr>
        <w:pStyle w:val="IndexTOC"/>
        <w:tabs>
          <w:tab w:val="right" w:pos="8805"/>
          <w:tab w:val="right" w:leader="dot" w:pos="9000"/>
        </w:tabs>
        <w:spacing w:after="120"/>
        <w:ind w:right="1886"/>
        <w:rPr>
          <w:color w:val="000000"/>
        </w:rPr>
      </w:pPr>
      <w:r>
        <w:rPr>
          <w:bCs/>
          <w:noProof/>
          <w:color w:val="333333"/>
          <w:sz w:val="24"/>
        </w:rPr>
        <w:fldChar w:fldCharType="end"/>
      </w:r>
    </w:p>
    <w:p w14:paraId="40C1FCAA" w14:textId="77777777" w:rsidR="00047CF7" w:rsidRPr="00653575" w:rsidRDefault="00047CF7" w:rsidP="0029357C">
      <w:pPr>
        <w:pStyle w:val="IndexTOC"/>
        <w:tabs>
          <w:tab w:val="right" w:pos="8805"/>
          <w:tab w:val="right" w:leader="dot" w:pos="9000"/>
        </w:tabs>
        <w:spacing w:after="120"/>
        <w:ind w:right="1882"/>
        <w:rPr>
          <w:color w:val="000000"/>
        </w:rPr>
      </w:pPr>
    </w:p>
    <w:p w14:paraId="6D06D089" w14:textId="77777777" w:rsidR="00EA310F" w:rsidRDefault="00EA310F" w:rsidP="002542BD">
      <w:pPr>
        <w:pStyle w:val="Heading1"/>
      </w:pPr>
      <w:bookmarkStart w:id="0" w:name="_Toc212371983"/>
      <w:r>
        <w:lastRenderedPageBreak/>
        <w:t>General</w:t>
      </w:r>
      <w:bookmarkEnd w:id="0"/>
      <w:r>
        <w:t xml:space="preserve"> </w:t>
      </w:r>
    </w:p>
    <w:p w14:paraId="397AFC40" w14:textId="77777777" w:rsidR="007D71CB" w:rsidRDefault="007D71CB" w:rsidP="00A36FE1">
      <w:pPr>
        <w:pStyle w:val="ListParagraph"/>
      </w:pPr>
      <w:bookmarkStart w:id="1" w:name="_Toc72644661"/>
      <w:bookmarkStart w:id="2" w:name="_Toc164484007"/>
      <w:bookmarkStart w:id="3" w:name="_Toc65238730"/>
      <w:bookmarkStart w:id="4" w:name="_Toc164483427"/>
      <w:r>
        <w:t>Forecasts are essential for</w:t>
      </w:r>
      <w:r w:rsidR="00A36FE1">
        <w:t>, including but not limited to,</w:t>
      </w:r>
      <w:r>
        <w:t xml:space="preserve"> the planning </w:t>
      </w:r>
      <w:r w:rsidR="00A36FE1">
        <w:t xml:space="preserve">and dimensioning </w:t>
      </w:r>
      <w:r>
        <w:t xml:space="preserve">of the Omantel </w:t>
      </w:r>
      <w:r w:rsidR="002B1302">
        <w:t>N</w:t>
      </w:r>
      <w:r>
        <w:t xml:space="preserve">etwork capacity, the deployment and roll out of </w:t>
      </w:r>
      <w:r w:rsidR="002B1302">
        <w:t>N</w:t>
      </w:r>
      <w:r>
        <w:t>etwork facilities</w:t>
      </w:r>
      <w:r w:rsidR="00A36FE1">
        <w:t>, and connecting and disconnecting end-users of the Requesting Party</w:t>
      </w:r>
      <w:r w:rsidR="002B1302">
        <w:t>.</w:t>
      </w:r>
    </w:p>
    <w:bookmarkEnd w:id="1"/>
    <w:bookmarkEnd w:id="2"/>
    <w:bookmarkEnd w:id="3"/>
    <w:bookmarkEnd w:id="4"/>
    <w:p w14:paraId="3E2BED0E" w14:textId="0D2F8393" w:rsidR="005805C5" w:rsidRDefault="005805C5" w:rsidP="00597F04">
      <w:pPr>
        <w:pStyle w:val="ListParagraph"/>
      </w:pPr>
      <w:r>
        <w:t>Omantel</w:t>
      </w:r>
      <w:r w:rsidR="00A36FE1">
        <w:t>,</w:t>
      </w:r>
      <w:r>
        <w:t xml:space="preserve"> </w:t>
      </w:r>
      <w:r w:rsidR="002B1302">
        <w:t xml:space="preserve">at </w:t>
      </w:r>
      <w:r>
        <w:t xml:space="preserve">its </w:t>
      </w:r>
      <w:r w:rsidR="00A36FE1">
        <w:t xml:space="preserve">sole </w:t>
      </w:r>
      <w:r>
        <w:t>discretion</w:t>
      </w:r>
      <w:r w:rsidR="00A36FE1">
        <w:t>,</w:t>
      </w:r>
      <w:r>
        <w:t xml:space="preserve"> may at any time</w:t>
      </w:r>
      <w:r w:rsidR="002B1302">
        <w:t xml:space="preserve"> in writing</w:t>
      </w:r>
      <w:r>
        <w:t xml:space="preserve"> waive the Forecast </w:t>
      </w:r>
      <w:r w:rsidR="00597F04">
        <w:t>Annex</w:t>
      </w:r>
      <w:r w:rsidR="00A36FE1">
        <w:t>,</w:t>
      </w:r>
      <w:r>
        <w:t xml:space="preserve"> or part of it</w:t>
      </w:r>
      <w:r w:rsidR="00A36FE1">
        <w:t>,</w:t>
      </w:r>
      <w:r>
        <w:t xml:space="preserve"> during the </w:t>
      </w:r>
      <w:r w:rsidR="00A36FE1">
        <w:t>Agreement term</w:t>
      </w:r>
      <w:r>
        <w:t xml:space="preserve">. </w:t>
      </w:r>
      <w:r w:rsidR="00080BF5" w:rsidRPr="00080BF5">
        <w:t xml:space="preserve">In the event that Omantel considers that it is appropriate in certain cases to waive the Forecasting requirements, it may do so subject to waiving them for all Requesting Parties that meet the same criteria on a fair and non-discriminatory basis. </w:t>
      </w:r>
      <w:r>
        <w:t xml:space="preserve">Omantel can also </w:t>
      </w:r>
      <w:r w:rsidR="002B1302">
        <w:t>rescind</w:t>
      </w:r>
      <w:r>
        <w:t xml:space="preserve"> waive</w:t>
      </w:r>
      <w:r w:rsidR="002B1302">
        <w:t>r</w:t>
      </w:r>
      <w:r>
        <w:t xml:space="preserve"> by informing </w:t>
      </w:r>
      <w:r w:rsidR="00846B4F">
        <w:t>the Requesting Party</w:t>
      </w:r>
      <w:r w:rsidR="002B1302">
        <w:t xml:space="preserve"> in writing</w:t>
      </w:r>
      <w:r>
        <w:t>.</w:t>
      </w:r>
    </w:p>
    <w:p w14:paraId="741D6574" w14:textId="53D53B8D" w:rsidR="001D7806" w:rsidRPr="007E6C08" w:rsidRDefault="001D7806" w:rsidP="008C4BFD">
      <w:pPr>
        <w:pStyle w:val="ListParagraph"/>
      </w:pPr>
      <w:bookmarkStart w:id="5" w:name="_Ref467432580"/>
      <w:r w:rsidRPr="007E6C08">
        <w:t xml:space="preserve">The </w:t>
      </w:r>
      <w:r w:rsidR="006A533A" w:rsidRPr="007E6C08">
        <w:t>R</w:t>
      </w:r>
      <w:r w:rsidRPr="007E6C08">
        <w:t xml:space="preserve">equesting </w:t>
      </w:r>
      <w:r w:rsidR="006A533A" w:rsidRPr="007E6C08">
        <w:t>P</w:t>
      </w:r>
      <w:r w:rsidRPr="007E6C08">
        <w:t xml:space="preserve">arty shall provide </w:t>
      </w:r>
      <w:r w:rsidR="006A533A" w:rsidRPr="007E6C08">
        <w:t>a preliminary forecast for t</w:t>
      </w:r>
      <w:r w:rsidRPr="007E6C08">
        <w:t xml:space="preserve">he first year </w:t>
      </w:r>
      <w:r w:rsidR="008C4BFD">
        <w:t>at the time of requesting the S</w:t>
      </w:r>
      <w:r w:rsidRPr="007E6C08">
        <w:t xml:space="preserve">ervice. The Requesting Party should take proper measure </w:t>
      </w:r>
      <w:r w:rsidR="006A533A" w:rsidRPr="007E6C08">
        <w:t>while setting up the forecast.</w:t>
      </w:r>
      <w:bookmarkEnd w:id="5"/>
    </w:p>
    <w:p w14:paraId="195B2638" w14:textId="3A49AEB0" w:rsidR="000F0B37" w:rsidRPr="007E6C08" w:rsidRDefault="000F0B37" w:rsidP="004F32C3">
      <w:pPr>
        <w:pStyle w:val="ListParagraph"/>
      </w:pPr>
      <w:bookmarkStart w:id="6" w:name="_Ref464655254"/>
      <w:r w:rsidRPr="007E6C08">
        <w:t>The Requesting Party can adjust the preliminary forecast of the first year, 10 days before the start of the service provisioning. If the adjustment is not provided, the preliminar</w:t>
      </w:r>
      <w:r w:rsidR="00EE5D9C">
        <w:t xml:space="preserve">y forecast will be </w:t>
      </w:r>
      <w:r w:rsidR="00CF6163">
        <w:t>considered</w:t>
      </w:r>
      <w:r w:rsidR="00EE5D9C">
        <w:t xml:space="preserve"> as the F</w:t>
      </w:r>
      <w:r w:rsidRPr="007E6C08">
        <w:t>orecast of the first year.</w:t>
      </w:r>
      <w:bookmarkEnd w:id="6"/>
      <w:r w:rsidR="004F32C3">
        <w:t xml:space="preserve"> </w:t>
      </w:r>
      <w:r w:rsidR="004F32C3" w:rsidRPr="004F32C3">
        <w:t>In all cases, the Requesting Party may adjust such forecast on a quarterly basis, in advance, so as to provide Omantel a more accurate picture of any forecasted changes. For the avoidance of doubt, any amended forecast issued on a quarterly basis shall be the one to prevail and upon which any commitment shall be based on</w:t>
      </w:r>
      <w:r w:rsidR="004F32C3">
        <w:t xml:space="preserve">. </w:t>
      </w:r>
      <w:r w:rsidR="004F32C3" w:rsidRPr="004F32C3">
        <w:t>In the event that Omantel considers that it is appropriate in certain cases to waive the Forecasting requirements, it may do so subject to waiving them for all Requesting Parties that meet the same criteria on a fair and non-discriminatory basis</w:t>
      </w:r>
      <w:r w:rsidR="004F32C3">
        <w:t>.</w:t>
      </w:r>
    </w:p>
    <w:p w14:paraId="363208B4" w14:textId="0F28CF2F" w:rsidR="00D15391" w:rsidRDefault="000F0B37" w:rsidP="004F32C3">
      <w:pPr>
        <w:pStyle w:val="ListParagraph"/>
      </w:pPr>
      <w:bookmarkStart w:id="7" w:name="_Ref464655263"/>
      <w:r>
        <w:t xml:space="preserve">The </w:t>
      </w:r>
      <w:r w:rsidR="00D15391">
        <w:t xml:space="preserve">Forecasts shall be provided </w:t>
      </w:r>
      <w:r w:rsidR="00E42830">
        <w:t>every year</w:t>
      </w:r>
      <w:r w:rsidR="00D15391">
        <w:t xml:space="preserve"> for a period</w:t>
      </w:r>
      <w:r w:rsidR="002B1302">
        <w:t xml:space="preserve"> of</w:t>
      </w:r>
      <w:r w:rsidR="00D15391">
        <w:t xml:space="preserve"> twelve (12) months covering one (1) </w:t>
      </w:r>
      <w:r w:rsidR="00D307F0">
        <w:t xml:space="preserve">calendar </w:t>
      </w:r>
      <w:r w:rsidR="00D15391">
        <w:t xml:space="preserve">year, delivered to the Providing Party 10 Working Days before the start of each </w:t>
      </w:r>
      <w:bookmarkEnd w:id="7"/>
      <w:r w:rsidR="004F32C3">
        <w:t xml:space="preserve">Quarter. </w:t>
      </w:r>
      <w:r w:rsidR="004F32C3" w:rsidRPr="004F32C3">
        <w:t>The quarterly dates are 1st January, 1st April, 1st July and 1st October in each calendar year. In all cases, the Requesting Party may adjust such forecasts on a quarterly basis, in advance, so as to provide Omantel a more accurate picture of any forecasted changes. For the avoidance of doubt, any amended forecast issued on a quarterly basis shall be the one to prevail and upon which any commitment shall be based on.</w:t>
      </w:r>
    </w:p>
    <w:p w14:paraId="3884BA55" w14:textId="2F349BE6" w:rsidR="00D307F0" w:rsidRDefault="00D307F0" w:rsidP="004B25DD">
      <w:pPr>
        <w:pStyle w:val="ListParagraph"/>
      </w:pPr>
      <w:r>
        <w:lastRenderedPageBreak/>
        <w:t>The Forecasts shall be provided in good faith and based on reasonable and achievable numbers by the Requesting Party</w:t>
      </w:r>
      <w:r w:rsidR="006A533A">
        <w:t xml:space="preserve"> till the </w:t>
      </w:r>
      <w:r w:rsidR="004B25DD">
        <w:t>Agreement is ceased</w:t>
      </w:r>
      <w:r>
        <w:t xml:space="preserve">. </w:t>
      </w:r>
    </w:p>
    <w:p w14:paraId="56ED19A8" w14:textId="77777777" w:rsidR="009528AD" w:rsidRPr="00031D1C" w:rsidRDefault="009528AD" w:rsidP="00865AD1">
      <w:pPr>
        <w:pStyle w:val="ListParagraph"/>
        <w:numPr>
          <w:ilvl w:val="0"/>
          <w:numId w:val="0"/>
        </w:numPr>
        <w:ind w:left="864"/>
      </w:pPr>
    </w:p>
    <w:p w14:paraId="60FE2682" w14:textId="77777777" w:rsidR="00257AE9" w:rsidRPr="00031D1C" w:rsidRDefault="00257AE9" w:rsidP="00257AE9">
      <w:pPr>
        <w:pStyle w:val="ListParagraph"/>
        <w:numPr>
          <w:ilvl w:val="0"/>
          <w:numId w:val="0"/>
        </w:numPr>
        <w:ind w:left="864"/>
      </w:pPr>
    </w:p>
    <w:p w14:paraId="11183953" w14:textId="77777777" w:rsidR="00EA310F" w:rsidRPr="00EA310F" w:rsidRDefault="00EA310F" w:rsidP="00EA310F"/>
    <w:p w14:paraId="695BCE70" w14:textId="77777777" w:rsidR="00B736A7" w:rsidRPr="00615395" w:rsidRDefault="00B736A7" w:rsidP="00B736A7">
      <w:pPr>
        <w:pStyle w:val="ListParagraph2"/>
        <w:numPr>
          <w:ilvl w:val="0"/>
          <w:numId w:val="0"/>
        </w:numPr>
        <w:ind w:left="864"/>
      </w:pPr>
    </w:p>
    <w:p w14:paraId="020B7BC1" w14:textId="77777777" w:rsidR="007D71CB" w:rsidRDefault="007D71CB" w:rsidP="003022A9">
      <w:pPr>
        <w:pStyle w:val="Heading1"/>
      </w:pPr>
      <w:bookmarkStart w:id="8" w:name="_Toc212371984"/>
      <w:bookmarkStart w:id="9" w:name="_Toc330973157"/>
      <w:bookmarkStart w:id="10" w:name="_Toc326522858"/>
      <w:r>
        <w:lastRenderedPageBreak/>
        <w:t>Definition</w:t>
      </w:r>
      <w:bookmarkEnd w:id="8"/>
    </w:p>
    <w:p w14:paraId="0D973F28" w14:textId="77777777" w:rsidR="001C4D0B" w:rsidRDefault="001C4D0B" w:rsidP="001C4D0B">
      <w:pPr>
        <w:pStyle w:val="ListParagraph"/>
      </w:pPr>
      <w:r>
        <w:t>The Definitions in Annex L shall apply to this Annex F in addition to the following definitions:</w:t>
      </w:r>
    </w:p>
    <w:p w14:paraId="7E5EA32B" w14:textId="0EB1A2AE" w:rsidR="00A14302" w:rsidRDefault="00A14302" w:rsidP="00E42830">
      <w:pPr>
        <w:pStyle w:val="ListParagraph2"/>
      </w:pPr>
      <w:r>
        <w:t xml:space="preserve">Forecast – Twelve (12) months forecasted numbers per month per Service updated by the Requesting Party every </w:t>
      </w:r>
      <w:r w:rsidR="00E42830">
        <w:t>year</w:t>
      </w:r>
      <w:r>
        <w:t xml:space="preserve"> and submitted to the Providing Party.</w:t>
      </w:r>
    </w:p>
    <w:p w14:paraId="0FA69DF6" w14:textId="3585595A" w:rsidR="001C4D0B" w:rsidRDefault="00A14302" w:rsidP="00784995">
      <w:pPr>
        <w:pStyle w:val="ListParagraph2"/>
      </w:pPr>
      <w:r>
        <w:t xml:space="preserve">Committed Forecast – 80% of the forecasted numbers per month </w:t>
      </w:r>
      <w:r w:rsidR="00F244F0">
        <w:t xml:space="preserve">described in Clause </w:t>
      </w:r>
      <w:r w:rsidR="00784995">
        <w:fldChar w:fldCharType="begin"/>
      </w:r>
      <w:r w:rsidR="00784995">
        <w:instrText xml:space="preserve"> REF _Ref467432580 \r \h </w:instrText>
      </w:r>
      <w:r w:rsidR="00784995">
        <w:fldChar w:fldCharType="separate"/>
      </w:r>
      <w:r w:rsidR="00500F9D">
        <w:t>1.3</w:t>
      </w:r>
      <w:r w:rsidR="00784995">
        <w:fldChar w:fldCharType="end"/>
      </w:r>
      <w:r w:rsidR="00784995">
        <w:t xml:space="preserve"> and </w:t>
      </w:r>
      <w:r w:rsidR="00F244F0">
        <w:fldChar w:fldCharType="begin"/>
      </w:r>
      <w:r w:rsidR="00F244F0">
        <w:instrText xml:space="preserve"> REF _Ref464655254 \r \h </w:instrText>
      </w:r>
      <w:r w:rsidR="00F244F0">
        <w:fldChar w:fldCharType="separate"/>
      </w:r>
      <w:r w:rsidR="00500F9D">
        <w:t>1.4</w:t>
      </w:r>
      <w:r w:rsidR="00F244F0">
        <w:fldChar w:fldCharType="end"/>
      </w:r>
      <w:r w:rsidR="00784995">
        <w:t>.</w:t>
      </w:r>
    </w:p>
    <w:p w14:paraId="0606AB3B" w14:textId="77777777" w:rsidR="00A36FE1" w:rsidRDefault="00A36FE1" w:rsidP="00A14302">
      <w:pPr>
        <w:pStyle w:val="Heading1"/>
      </w:pPr>
      <w:bookmarkStart w:id="11" w:name="_Toc212371985"/>
      <w:r>
        <w:lastRenderedPageBreak/>
        <w:t>Forecast Minimum Commitment</w:t>
      </w:r>
      <w:bookmarkEnd w:id="11"/>
    </w:p>
    <w:p w14:paraId="38918A40" w14:textId="5FCA8C74" w:rsidR="00A02642" w:rsidRDefault="00A36FE1" w:rsidP="002A20BA">
      <w:pPr>
        <w:pStyle w:val="ListParagraph"/>
      </w:pPr>
      <w:r>
        <w:t>The Requesting Party shall commit to 80% of the forecasted numbers</w:t>
      </w:r>
      <w:r w:rsidR="00A02642">
        <w:t>.</w:t>
      </w:r>
    </w:p>
    <w:p w14:paraId="794EB911" w14:textId="7A2BF8F3" w:rsidR="003F0A55" w:rsidRDefault="00A02642" w:rsidP="002A20BA">
      <w:pPr>
        <w:pStyle w:val="ListParagraph"/>
      </w:pPr>
      <w:r>
        <w:t xml:space="preserve">The underutilization charges are applicable when the Order is less than </w:t>
      </w:r>
      <w:r w:rsidR="00EB4AB3">
        <w:t xml:space="preserve">the </w:t>
      </w:r>
      <w:r>
        <w:t xml:space="preserve">Minimum Commitment. </w:t>
      </w:r>
    </w:p>
    <w:p w14:paraId="787B1D99" w14:textId="6D79EB8F" w:rsidR="00A02642" w:rsidRDefault="00A02642" w:rsidP="002A20BA">
      <w:pPr>
        <w:pStyle w:val="ListParagraph2"/>
      </w:pPr>
      <w:r>
        <w:t xml:space="preserve">For capacity orders it is calculated as: </w:t>
      </w:r>
    </w:p>
    <w:p w14:paraId="19C7BACC" w14:textId="30EC329C" w:rsidR="00A02642" w:rsidRDefault="00A02642" w:rsidP="003F0A55">
      <w:pPr>
        <w:ind w:left="864"/>
      </w:pPr>
      <w:r>
        <w:t xml:space="preserve">A = ((80% x B)-C) x D </w:t>
      </w:r>
      <w:r>
        <w:tab/>
      </w:r>
    </w:p>
    <w:p w14:paraId="5F253CB0" w14:textId="627B03D0" w:rsidR="00A02642" w:rsidRDefault="00A02642" w:rsidP="003F0A55">
      <w:pPr>
        <w:spacing w:after="0" w:line="240" w:lineRule="auto"/>
        <w:ind w:left="864"/>
      </w:pPr>
      <w:r>
        <w:t xml:space="preserve">Where: </w:t>
      </w:r>
    </w:p>
    <w:p w14:paraId="329610CB" w14:textId="77777777" w:rsidR="00A02642" w:rsidRDefault="00A02642" w:rsidP="003F0A55">
      <w:pPr>
        <w:spacing w:after="0" w:line="240" w:lineRule="auto"/>
        <w:ind w:left="864"/>
      </w:pPr>
      <w:r>
        <w:t xml:space="preserve">A is the underutilization charge payable; </w:t>
      </w:r>
    </w:p>
    <w:p w14:paraId="420F01F4" w14:textId="2CEA3256" w:rsidR="00A02642" w:rsidRDefault="00A02642" w:rsidP="003F0A55">
      <w:pPr>
        <w:spacing w:after="0" w:line="240" w:lineRule="auto"/>
        <w:ind w:left="864"/>
      </w:pPr>
      <w:r>
        <w:t xml:space="preserve">B is the forecasted Capacity; </w:t>
      </w:r>
    </w:p>
    <w:p w14:paraId="54CACF0C" w14:textId="39E4CC15" w:rsidR="00A02642" w:rsidRDefault="00A02642" w:rsidP="003F0A55">
      <w:pPr>
        <w:spacing w:after="0" w:line="240" w:lineRule="auto"/>
        <w:ind w:left="864"/>
      </w:pPr>
      <w:r>
        <w:t xml:space="preserve">C is the Capacity ordered not including cancellations of Capacity Orders; and </w:t>
      </w:r>
    </w:p>
    <w:p w14:paraId="48E3A723" w14:textId="21752CDF" w:rsidR="00A36FE1" w:rsidRDefault="00A02642" w:rsidP="003F0A55">
      <w:pPr>
        <w:spacing w:after="0" w:line="240" w:lineRule="auto"/>
        <w:ind w:left="864"/>
      </w:pPr>
      <w:r>
        <w:t xml:space="preserve">D is forty per cent (40%) of the installation Charge for each </w:t>
      </w:r>
      <w:r w:rsidR="00CA05C3">
        <w:t>unit of the Capacity order</w:t>
      </w:r>
      <w:r>
        <w:t>.</w:t>
      </w:r>
    </w:p>
    <w:p w14:paraId="080C62FA" w14:textId="1655C076" w:rsidR="00A02642" w:rsidRDefault="00A02642" w:rsidP="00A02642"/>
    <w:p w14:paraId="72C53A78" w14:textId="106B9079" w:rsidR="003F0A55" w:rsidRDefault="003F0A55" w:rsidP="002A20BA">
      <w:pPr>
        <w:pStyle w:val="ListParagraph2"/>
      </w:pPr>
      <w:r>
        <w:t>For Services not covered above, w</w:t>
      </w:r>
      <w:r w:rsidRPr="003F0A55">
        <w:t xml:space="preserve">here Requesting Party’s actual </w:t>
      </w:r>
      <w:r>
        <w:t xml:space="preserve">order </w:t>
      </w:r>
      <w:r w:rsidRPr="003F0A55">
        <w:t>numbers are less than 80% of the forecasted numbers and if Omantel, based on such forecasts, has purchased any equipment or facilities that cannot be reasonably used elsewhere within the network then the Requesting Party may be obliged to pay all objectively incurred costs that have been incurred by Omantel provided Omantel shall substantiate all such costs on request</w:t>
      </w:r>
      <w:r>
        <w:t>.</w:t>
      </w:r>
    </w:p>
    <w:p w14:paraId="06AFABDD" w14:textId="40D259F4" w:rsidR="00A36FE1" w:rsidRDefault="00A36FE1" w:rsidP="002A20BA">
      <w:pPr>
        <w:pStyle w:val="ListParagraph"/>
      </w:pPr>
      <w:r>
        <w:t xml:space="preserve">Omantel has also the right, at its sole discretion, </w:t>
      </w:r>
      <w:r w:rsidR="009F2474" w:rsidRPr="009F2474">
        <w:t xml:space="preserve">but on a reasonable and non-discriminatory basis, </w:t>
      </w:r>
      <w:r>
        <w:t xml:space="preserve">to waive the </w:t>
      </w:r>
      <w:r w:rsidR="00C81B6E">
        <w:t>Committed Forecast</w:t>
      </w:r>
      <w:r>
        <w:t xml:space="preserve"> for a particular </w:t>
      </w:r>
      <w:r w:rsidR="0057795C">
        <w:t>period</w:t>
      </w:r>
      <w:r>
        <w:t xml:space="preserve">. Waiver of the </w:t>
      </w:r>
      <w:r w:rsidR="00C81B6E">
        <w:t xml:space="preserve">Committed Forecast </w:t>
      </w:r>
      <w:r>
        <w:t xml:space="preserve">for one </w:t>
      </w:r>
      <w:r w:rsidR="0057795C">
        <w:t xml:space="preserve">period </w:t>
      </w:r>
      <w:r>
        <w:t xml:space="preserve">shall not be a precedent for waiver of the </w:t>
      </w:r>
      <w:r w:rsidR="00C81B6E">
        <w:t xml:space="preserve">Committed Forecast </w:t>
      </w:r>
      <w:r>
        <w:t xml:space="preserve">for any future </w:t>
      </w:r>
      <w:r w:rsidR="0057795C">
        <w:t>period</w:t>
      </w:r>
      <w:r>
        <w:t xml:space="preserve">. </w:t>
      </w:r>
    </w:p>
    <w:p w14:paraId="4FEFA444" w14:textId="77777777" w:rsidR="00A36FE1" w:rsidRDefault="00A36FE1" w:rsidP="00A14302">
      <w:pPr>
        <w:pStyle w:val="Heading1"/>
      </w:pPr>
      <w:bookmarkStart w:id="12" w:name="_Toc212371986"/>
      <w:r>
        <w:lastRenderedPageBreak/>
        <w:t>Actuals Exceeding Forecast</w:t>
      </w:r>
      <w:bookmarkEnd w:id="12"/>
    </w:p>
    <w:p w14:paraId="377DB22D" w14:textId="372AD639" w:rsidR="00C81B6E" w:rsidRDefault="00C81B6E" w:rsidP="00E42830">
      <w:pPr>
        <w:pStyle w:val="ListParagraph"/>
      </w:pPr>
      <w:r>
        <w:t>If the</w:t>
      </w:r>
      <w:r w:rsidR="00A36FE1">
        <w:t xml:space="preserve"> Requesting Party</w:t>
      </w:r>
      <w:r w:rsidR="0057795C">
        <w:t>’s</w:t>
      </w:r>
      <w:r w:rsidR="00A36FE1">
        <w:t xml:space="preserve"> </w:t>
      </w:r>
      <w:r>
        <w:t>actual numbers exceed the Forecast by 20%</w:t>
      </w:r>
      <w:r w:rsidR="0057795C">
        <w:t xml:space="preserve"> at any time</w:t>
      </w:r>
      <w:r>
        <w:t>, Omantel shall not be bound by the SLAs defined in Annex H and the SLAs in the applicable Service Sub-Annex in Annex C.</w:t>
      </w:r>
    </w:p>
    <w:bookmarkEnd w:id="9"/>
    <w:bookmarkEnd w:id="10"/>
    <w:p w14:paraId="20290184" w14:textId="77777777" w:rsidR="006316E6" w:rsidRDefault="006316E6" w:rsidP="00A14302"/>
    <w:sectPr w:rsidR="006316E6" w:rsidSect="00513A96">
      <w:headerReference w:type="even" r:id="rId15"/>
      <w:headerReference w:type="default" r:id="rId16"/>
      <w:footerReference w:type="even" r:id="rId17"/>
      <w:footerReference w:type="default" r:id="rId18"/>
      <w:headerReference w:type="first" r:id="rId19"/>
      <w:footerReference w:type="first" r:id="rId20"/>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A27E5" w14:textId="77777777" w:rsidR="004B25E6" w:rsidRDefault="004B25E6">
      <w:r>
        <w:separator/>
      </w:r>
    </w:p>
    <w:p w14:paraId="48E94BFD" w14:textId="77777777" w:rsidR="004B25E6" w:rsidRDefault="004B25E6"/>
  </w:endnote>
  <w:endnote w:type="continuationSeparator" w:id="0">
    <w:p w14:paraId="78A993CE" w14:textId="77777777" w:rsidR="004B25E6" w:rsidRDefault="004B25E6">
      <w:r>
        <w:continuationSeparator/>
      </w:r>
    </w:p>
    <w:p w14:paraId="1C982E97" w14:textId="77777777" w:rsidR="004B25E6" w:rsidRDefault="004B2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20D2" w14:textId="79AB3369" w:rsidR="000C1BB7" w:rsidRDefault="000C1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57E7" w14:textId="507265D4" w:rsidR="003A4FA4" w:rsidRDefault="00933FCE">
    <w:pPr>
      <w:pStyle w:val="Footer"/>
    </w:pPr>
    <w:r>
      <w:rPr>
        <w:noProof/>
      </w:rPr>
      <mc:AlternateContent>
        <mc:Choice Requires="wps">
          <w:drawing>
            <wp:anchor distT="0" distB="0" distL="114300" distR="114300" simplePos="0" relativeHeight="251658246" behindDoc="0" locked="0" layoutInCell="1" allowOverlap="1" wp14:anchorId="4480B575" wp14:editId="4239AC04">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D6BACE"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" fillcolor="#ec9e3c" strokecolor="#ec9e3c"/>
          </w:pict>
        </mc:Fallback>
      </mc:AlternateContent>
    </w:r>
    <w:r w:rsidR="003A4FA4">
      <w:rPr>
        <w:noProof/>
      </w:rPr>
      <w:drawing>
        <wp:anchor distT="0" distB="0" distL="114300" distR="114300" simplePos="0" relativeHeight="251658245" behindDoc="0" locked="0" layoutInCell="1" allowOverlap="1" wp14:anchorId="18BE1ABB" wp14:editId="50142783">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58244" behindDoc="0" locked="0" layoutInCell="1" allowOverlap="1" wp14:anchorId="303CB38B" wp14:editId="245B1B83">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272D22"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" fillcolor="#00559b" strokecolor="#00559b"/>
          </w:pict>
        </mc:Fallback>
      </mc:AlternateContent>
    </w:r>
    <w:r>
      <w:rPr>
        <w:noProof/>
      </w:rPr>
      <mc:AlternateContent>
        <mc:Choice Requires="wps">
          <w:drawing>
            <wp:anchor distT="0" distB="0" distL="114300" distR="114300" simplePos="0" relativeHeight="251658243" behindDoc="0" locked="0" layoutInCell="1" allowOverlap="1" wp14:anchorId="23C0A501" wp14:editId="5511FBC8">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910141"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" fillcolor="#ec9e3c" strokecolor="#ec9e3c"/>
          </w:pict>
        </mc:Fallback>
      </mc:AlternateContent>
    </w:r>
    <w:r w:rsidR="003A4FA4">
      <w:rPr>
        <w:noProof/>
      </w:rPr>
      <w:drawing>
        <wp:inline distT="0" distB="0" distL="0" distR="0" wp14:anchorId="3086D21C" wp14:editId="3F373F3C">
          <wp:extent cx="1276350" cy="857250"/>
          <wp:effectExtent l="0" t="0" r="0" b="635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9644" w14:textId="3C89EC9B"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Belgacom Group ISO certificates : www.belgacom.com</w:t>
    </w:r>
  </w:p>
  <w:p w14:paraId="6C8B7E80" w14:textId="77777777" w:rsidR="003A4FA4" w:rsidRPr="0081597A" w:rsidRDefault="003A4FA4" w:rsidP="002935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242F" w14:textId="30403DF0" w:rsidR="000C1BB7" w:rsidRDefault="000C1B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51AD" w14:textId="1B3BC353"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587509" w:rsidRPr="002A3A70">
      <w:rPr>
        <w:sz w:val="16"/>
        <w:szCs w:val="16"/>
      </w:rPr>
      <w:fldChar w:fldCharType="begin"/>
    </w:r>
    <w:r w:rsidRPr="002A3A70">
      <w:rPr>
        <w:sz w:val="16"/>
        <w:szCs w:val="16"/>
      </w:rPr>
      <w:instrText xml:space="preserve"> PAGE </w:instrText>
    </w:r>
    <w:r w:rsidR="00587509" w:rsidRPr="002A3A70">
      <w:rPr>
        <w:sz w:val="16"/>
        <w:szCs w:val="16"/>
      </w:rPr>
      <w:fldChar w:fldCharType="separate"/>
    </w:r>
    <w:r w:rsidR="009A6833">
      <w:rPr>
        <w:noProof/>
        <w:sz w:val="16"/>
        <w:szCs w:val="16"/>
      </w:rPr>
      <w:t>4</w:t>
    </w:r>
    <w:r w:rsidR="00587509" w:rsidRPr="002A3A70">
      <w:rPr>
        <w:sz w:val="16"/>
        <w:szCs w:val="16"/>
      </w:rPr>
      <w:fldChar w:fldCharType="end"/>
    </w:r>
    <w:r w:rsidRPr="002A3A70">
      <w:rPr>
        <w:sz w:val="16"/>
        <w:szCs w:val="16"/>
      </w:rPr>
      <w:t xml:space="preserve"> of </w:t>
    </w:r>
    <w:r w:rsidR="00587509" w:rsidRPr="002A3A70">
      <w:rPr>
        <w:sz w:val="16"/>
        <w:szCs w:val="16"/>
      </w:rPr>
      <w:fldChar w:fldCharType="begin"/>
    </w:r>
    <w:r w:rsidRPr="002A3A70">
      <w:rPr>
        <w:sz w:val="16"/>
        <w:szCs w:val="16"/>
      </w:rPr>
      <w:instrText xml:space="preserve"> NUMPAGES </w:instrText>
    </w:r>
    <w:r w:rsidR="00587509" w:rsidRPr="002A3A70">
      <w:rPr>
        <w:sz w:val="16"/>
        <w:szCs w:val="16"/>
      </w:rPr>
      <w:fldChar w:fldCharType="separate"/>
    </w:r>
    <w:r w:rsidR="009A6833">
      <w:rPr>
        <w:noProof/>
        <w:sz w:val="16"/>
        <w:szCs w:val="16"/>
      </w:rPr>
      <w:t>7</w:t>
    </w:r>
    <w:r w:rsidR="00587509" w:rsidRPr="002A3A70">
      <w:rPr>
        <w:sz w:val="16"/>
        <w:szCs w:val="16"/>
      </w:rPr>
      <w:fldChar w:fldCharType="end"/>
    </w:r>
  </w:p>
  <w:p w14:paraId="0C4B06A9" w14:textId="77777777" w:rsidR="003A4FA4" w:rsidRPr="002A3A70" w:rsidRDefault="003A4FA4" w:rsidP="002A3A70">
    <w:pPr>
      <w:pStyle w:val="Footer"/>
      <w:tabs>
        <w:tab w:val="clear" w:pos="9700"/>
        <w:tab w:val="right" w:pos="10206"/>
      </w:tabs>
      <w:ind w:left="-993"/>
      <w:rPr>
        <w:sz w:val="16"/>
        <w:szCs w:val="16"/>
      </w:rPr>
    </w:pPr>
  </w:p>
  <w:p w14:paraId="354B2656" w14:textId="77777777" w:rsidR="003A4FA4" w:rsidRDefault="003A4FA4" w:rsidP="002A3A70">
    <w:pPr>
      <w:pStyle w:val="Footer"/>
      <w:ind w:left="-993"/>
    </w:pPr>
    <w:r>
      <w:rPr>
        <w:noProof/>
      </w:rPr>
      <w:drawing>
        <wp:anchor distT="0" distB="0" distL="114300" distR="114300" simplePos="0" relativeHeight="251658242" behindDoc="1" locked="0" layoutInCell="1" allowOverlap="1" wp14:anchorId="465B564D" wp14:editId="390A8F74">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1F0A79C6" w14:textId="77777777" w:rsidR="003A4FA4" w:rsidRPr="001C7F23" w:rsidRDefault="003A4FA4" w:rsidP="0029357C">
    <w:pPr>
      <w:pStyle w:val="Footer"/>
      <w:tabs>
        <w:tab w:val="clear" w:pos="9700"/>
        <w:tab w:val="right" w:pos="977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F341" w14:textId="101895D1" w:rsidR="003A4FA4" w:rsidRDefault="003A4FA4" w:rsidP="0029357C">
    <w:pPr>
      <w:pStyle w:val="Footer"/>
    </w:pPr>
    <w:r>
      <w:t xml:space="preserve">&lt;Customer Name&gt; &lt;Customer Project Title&gt; </w:t>
    </w:r>
  </w:p>
  <w:p w14:paraId="7609F680" w14:textId="4189F26D"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Solutions : </w:t>
    </w:r>
    <w:r w:rsidRPr="00833998">
      <w:t>ISO 9001</w:t>
    </w:r>
    <w:r>
      <w:t xml:space="preserve"> : 2000</w:t>
    </w:r>
    <w:r>
      <w:tab/>
    </w:r>
    <w:r>
      <w:tab/>
      <w:t xml:space="preserve">Page </w:t>
    </w:r>
    <w:r w:rsidR="00587509">
      <w:fldChar w:fldCharType="begin"/>
    </w:r>
    <w:r>
      <w:instrText xml:space="preserve"> PAGE </w:instrText>
    </w:r>
    <w:r w:rsidR="00587509">
      <w:fldChar w:fldCharType="separate"/>
    </w:r>
    <w:r>
      <w:rPr>
        <w:noProof/>
      </w:rPr>
      <w:t>3</w:t>
    </w:r>
    <w:r w:rsidR="00587509">
      <w:fldChar w:fldCharType="end"/>
    </w:r>
    <w:r>
      <w:t xml:space="preserve"> of </w:t>
    </w:r>
    <w:r w:rsidR="00587509">
      <w:fldChar w:fldCharType="begin"/>
    </w:r>
    <w:r w:rsidR="00BB1AF0">
      <w:instrText xml:space="preserve"> NUMPAGES </w:instrText>
    </w:r>
    <w:r w:rsidR="00587509">
      <w:fldChar w:fldCharType="separate"/>
    </w:r>
    <w:r w:rsidR="005B11B5">
      <w:rPr>
        <w:noProof/>
      </w:rPr>
      <w:t>7</w:t>
    </w:r>
    <w:r w:rsidR="00587509">
      <w:rPr>
        <w:noProof/>
      </w:rPr>
      <w:fldChar w:fldCharType="end"/>
    </w:r>
  </w:p>
  <w:p w14:paraId="7742904C" w14:textId="77777777" w:rsidR="003A4FA4" w:rsidRPr="0081597A" w:rsidRDefault="003A4FA4" w:rsidP="0029357C">
    <w:pPr>
      <w:pStyle w:val="Footer"/>
    </w:pPr>
  </w:p>
  <w:p w14:paraId="4FA6A0EE"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83CE0" w14:textId="77777777" w:rsidR="004B25E6" w:rsidRDefault="004B25E6">
      <w:r>
        <w:separator/>
      </w:r>
    </w:p>
    <w:p w14:paraId="76141B56" w14:textId="77777777" w:rsidR="004B25E6" w:rsidRDefault="004B25E6"/>
  </w:footnote>
  <w:footnote w:type="continuationSeparator" w:id="0">
    <w:p w14:paraId="7F2EA2E1" w14:textId="77777777" w:rsidR="004B25E6" w:rsidRDefault="004B25E6">
      <w:r>
        <w:continuationSeparator/>
      </w:r>
    </w:p>
    <w:p w14:paraId="3B2B7C10" w14:textId="77777777" w:rsidR="004B25E6" w:rsidRDefault="004B2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427F" w14:textId="77777777" w:rsidR="003A4FA4" w:rsidRPr="00506286" w:rsidRDefault="003A4FA4">
    <w:pPr>
      <w:rPr>
        <w:szCs w:val="18"/>
      </w:rPr>
    </w:pPr>
    <w:r>
      <w:rPr>
        <w:noProof/>
        <w:szCs w:val="18"/>
      </w:rPr>
      <w:drawing>
        <wp:anchor distT="0" distB="0" distL="114300" distR="114300" simplePos="0" relativeHeight="251658241" behindDoc="1" locked="0" layoutInCell="1" allowOverlap="1" wp14:anchorId="4581AA14" wp14:editId="1A668D78">
          <wp:simplePos x="0" y="0"/>
          <wp:positionH relativeFrom="page">
            <wp:posOffset>0</wp:posOffset>
          </wp:positionH>
          <wp:positionV relativeFrom="page">
            <wp:posOffset>0</wp:posOffset>
          </wp:positionV>
          <wp:extent cx="7553325" cy="1638300"/>
          <wp:effectExtent l="0" t="0" r="0" b="12700"/>
          <wp:wrapNone/>
          <wp:docPr id="8" name="Picture 8"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F3A9"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F9E2" w14:textId="77777777" w:rsidR="003A4FA4" w:rsidRDefault="003A4FA4">
    <w:pPr>
      <w:rPr>
        <w:sz w:val="16"/>
        <w:szCs w:val="16"/>
      </w:rPr>
    </w:pPr>
  </w:p>
  <w:p w14:paraId="06C82BF8" w14:textId="77777777" w:rsidR="003A4FA4" w:rsidRDefault="003A4FA4" w:rsidP="00196E15">
    <w:pPr>
      <w:rPr>
        <w:sz w:val="16"/>
        <w:szCs w:val="16"/>
      </w:rPr>
    </w:pPr>
    <w:r>
      <w:rPr>
        <w:noProof/>
        <w:sz w:val="16"/>
        <w:szCs w:val="16"/>
      </w:rPr>
      <w:drawing>
        <wp:anchor distT="0" distB="0" distL="114300" distR="114300" simplePos="0" relativeHeight="251658247" behindDoc="0" locked="0" layoutInCell="1" allowOverlap="1" wp14:anchorId="6B4E0404" wp14:editId="2AFCFBF9">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 xml:space="preserve">Reference </w:t>
    </w:r>
    <w:r w:rsidR="00196E15">
      <w:rPr>
        <w:sz w:val="16"/>
        <w:szCs w:val="16"/>
      </w:rPr>
      <w:t xml:space="preserve">Access and </w:t>
    </w:r>
    <w:r>
      <w:rPr>
        <w:sz w:val="16"/>
        <w:szCs w:val="16"/>
      </w:rPr>
      <w:t>Interconnect</w:t>
    </w:r>
    <w:r w:rsidR="007C18EE">
      <w:rPr>
        <w:sz w:val="16"/>
        <w:szCs w:val="16"/>
      </w:rPr>
      <w:t>ion</w:t>
    </w:r>
    <w:r>
      <w:rPr>
        <w:sz w:val="16"/>
        <w:szCs w:val="16"/>
      </w:rPr>
      <w:t xml:space="preserve"> Offer</w:t>
    </w:r>
  </w:p>
  <w:p w14:paraId="484B8CE7" w14:textId="77777777" w:rsidR="00D9728C" w:rsidRPr="00D9728C" w:rsidRDefault="003A4FA4" w:rsidP="00D9728C">
    <w:pPr>
      <w:rPr>
        <w:sz w:val="16"/>
        <w:szCs w:val="16"/>
      </w:rPr>
    </w:pPr>
    <w:r>
      <w:rPr>
        <w:sz w:val="16"/>
        <w:szCs w:val="16"/>
      </w:rPr>
      <w:t xml:space="preserve">Sub Annex </w:t>
    </w:r>
    <w:r w:rsidR="00D9728C">
      <w:rPr>
        <w:sz w:val="16"/>
        <w:szCs w:val="16"/>
      </w:rPr>
      <w:t>F</w:t>
    </w:r>
    <w:r>
      <w:rPr>
        <w:sz w:val="16"/>
        <w:szCs w:val="16"/>
      </w:rPr>
      <w:t xml:space="preserve"> _</w:t>
    </w:r>
    <w:r w:rsidR="00EC0938">
      <w:rPr>
        <w:sz w:val="16"/>
        <w:szCs w:val="16"/>
      </w:rPr>
      <w:t xml:space="preserve"> </w:t>
    </w:r>
    <w:r w:rsidR="00D9728C">
      <w:rPr>
        <w:sz w:val="16"/>
        <w:szCs w:val="16"/>
      </w:rPr>
      <w:t>Forecast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B49F" w14:textId="77777777" w:rsidR="003A4FA4" w:rsidRPr="006808BE" w:rsidRDefault="003A4FA4" w:rsidP="0029357C">
    <w:pPr>
      <w:rPr>
        <w:szCs w:val="18"/>
      </w:rPr>
    </w:pPr>
  </w:p>
  <w:p w14:paraId="527CFC52" w14:textId="77777777" w:rsidR="003A4FA4" w:rsidRPr="00506286" w:rsidRDefault="003A4FA4" w:rsidP="0029357C"/>
  <w:p w14:paraId="1FE8B759" w14:textId="77777777" w:rsidR="003A4FA4" w:rsidRPr="00506286" w:rsidRDefault="003A4FA4" w:rsidP="0029357C"/>
  <w:p w14:paraId="3DCE97D7" w14:textId="77777777" w:rsidR="003A4FA4" w:rsidRPr="00506286" w:rsidRDefault="003A4FA4" w:rsidP="0029357C"/>
  <w:p w14:paraId="39A3EA06" w14:textId="77777777" w:rsidR="003A4FA4" w:rsidRPr="00506286" w:rsidRDefault="003A4FA4" w:rsidP="0029357C"/>
  <w:p w14:paraId="6055B6A1" w14:textId="77777777" w:rsidR="003A4FA4" w:rsidRPr="00506286" w:rsidRDefault="003A4FA4" w:rsidP="0029357C"/>
  <w:p w14:paraId="534C1F25" w14:textId="77777777" w:rsidR="003A4FA4" w:rsidRPr="00506286" w:rsidRDefault="003A4FA4" w:rsidP="0029357C"/>
  <w:p w14:paraId="2A53B46C" w14:textId="77777777" w:rsidR="003A4FA4" w:rsidRPr="00506286" w:rsidRDefault="003A4FA4" w:rsidP="0029357C">
    <w:pPr>
      <w:rPr>
        <w:rStyle w:val="PageNumber"/>
      </w:rPr>
    </w:pPr>
  </w:p>
  <w:p w14:paraId="683D4EE0" w14:textId="77777777" w:rsidR="003A4FA4" w:rsidRPr="00506286" w:rsidRDefault="003A4FA4">
    <w:pPr>
      <w:rPr>
        <w:szCs w:val="18"/>
      </w:rPr>
    </w:pPr>
    <w:r>
      <w:rPr>
        <w:noProof/>
        <w:szCs w:val="18"/>
      </w:rPr>
      <w:drawing>
        <wp:anchor distT="0" distB="0" distL="114300" distR="114300" simplePos="0" relativeHeight="251658240" behindDoc="1" locked="0" layoutInCell="1" allowOverlap="1" wp14:anchorId="652E39EB" wp14:editId="3970D1F9">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1307D7B2"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4476C9E"/>
    <w:multiLevelType w:val="hybridMultilevel"/>
    <w:tmpl w:val="3BA0BBB6"/>
    <w:lvl w:ilvl="0" w:tplc="C7A82EF8">
      <w:start w:val="1"/>
      <w:numFmt w:val="lowerRoman"/>
      <w:pStyle w:val="Normal3"/>
      <w:lvlText w:val="%1."/>
      <w:lvlJc w:val="right"/>
      <w:pPr>
        <w:ind w:left="2996" w:hanging="360"/>
      </w:pPr>
      <w:rPr>
        <w:rFonts w:hint="default"/>
      </w:rPr>
    </w:lvl>
    <w:lvl w:ilvl="1" w:tplc="04090019" w:tentative="1">
      <w:start w:val="1"/>
      <w:numFmt w:val="lowerLetter"/>
      <w:lvlText w:val="%2."/>
      <w:lvlJc w:val="left"/>
      <w:pPr>
        <w:ind w:left="3716" w:hanging="360"/>
      </w:pPr>
    </w:lvl>
    <w:lvl w:ilvl="2" w:tplc="0409001B" w:tentative="1">
      <w:start w:val="1"/>
      <w:numFmt w:val="lowerRoman"/>
      <w:lvlText w:val="%3."/>
      <w:lvlJc w:val="right"/>
      <w:pPr>
        <w:ind w:left="4436" w:hanging="180"/>
      </w:pPr>
    </w:lvl>
    <w:lvl w:ilvl="3" w:tplc="0409000F" w:tentative="1">
      <w:start w:val="1"/>
      <w:numFmt w:val="decimal"/>
      <w:lvlText w:val="%4."/>
      <w:lvlJc w:val="left"/>
      <w:pPr>
        <w:ind w:left="5156" w:hanging="360"/>
      </w:pPr>
    </w:lvl>
    <w:lvl w:ilvl="4" w:tplc="04090019" w:tentative="1">
      <w:start w:val="1"/>
      <w:numFmt w:val="lowerLetter"/>
      <w:lvlText w:val="%5."/>
      <w:lvlJc w:val="left"/>
      <w:pPr>
        <w:ind w:left="5876" w:hanging="360"/>
      </w:pPr>
    </w:lvl>
    <w:lvl w:ilvl="5" w:tplc="0409001B" w:tentative="1">
      <w:start w:val="1"/>
      <w:numFmt w:val="lowerRoman"/>
      <w:lvlText w:val="%6."/>
      <w:lvlJc w:val="right"/>
      <w:pPr>
        <w:ind w:left="6596" w:hanging="180"/>
      </w:pPr>
    </w:lvl>
    <w:lvl w:ilvl="6" w:tplc="0409000F" w:tentative="1">
      <w:start w:val="1"/>
      <w:numFmt w:val="decimal"/>
      <w:lvlText w:val="%7."/>
      <w:lvlJc w:val="left"/>
      <w:pPr>
        <w:ind w:left="7316" w:hanging="360"/>
      </w:pPr>
    </w:lvl>
    <w:lvl w:ilvl="7" w:tplc="04090019" w:tentative="1">
      <w:start w:val="1"/>
      <w:numFmt w:val="lowerLetter"/>
      <w:lvlText w:val="%8."/>
      <w:lvlJc w:val="left"/>
      <w:pPr>
        <w:ind w:left="8036" w:hanging="360"/>
      </w:pPr>
    </w:lvl>
    <w:lvl w:ilvl="8" w:tplc="0409001B" w:tentative="1">
      <w:start w:val="1"/>
      <w:numFmt w:val="lowerRoman"/>
      <w:lvlText w:val="%9."/>
      <w:lvlJc w:val="right"/>
      <w:pPr>
        <w:ind w:left="8756" w:hanging="180"/>
      </w:pPr>
    </w:lvl>
  </w:abstractNum>
  <w:abstractNum w:abstractNumId="4"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7"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1067191794">
    <w:abstractNumId w:val="6"/>
  </w:num>
  <w:num w:numId="2" w16cid:durableId="1413431336">
    <w:abstractNumId w:val="5"/>
  </w:num>
  <w:num w:numId="3" w16cid:durableId="444154552">
    <w:abstractNumId w:val="8"/>
  </w:num>
  <w:num w:numId="4" w16cid:durableId="726689828">
    <w:abstractNumId w:val="1"/>
  </w:num>
  <w:num w:numId="5" w16cid:durableId="1297108150">
    <w:abstractNumId w:val="2"/>
  </w:num>
  <w:num w:numId="6" w16cid:durableId="695234865">
    <w:abstractNumId w:val="0"/>
  </w:num>
  <w:num w:numId="7" w16cid:durableId="1911496682">
    <w:abstractNumId w:val="7"/>
  </w:num>
  <w:num w:numId="8" w16cid:durableId="1964847214">
    <w:abstractNumId w:val="4"/>
  </w:num>
  <w:num w:numId="9" w16cid:durableId="1416627426">
    <w:abstractNumId w:val="3"/>
  </w:num>
  <w:num w:numId="10" w16cid:durableId="121465970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07D9C"/>
    <w:rsid w:val="00013064"/>
    <w:rsid w:val="00013A0F"/>
    <w:rsid w:val="000209E2"/>
    <w:rsid w:val="00042009"/>
    <w:rsid w:val="000473BB"/>
    <w:rsid w:val="00047CF7"/>
    <w:rsid w:val="00061ABF"/>
    <w:rsid w:val="00080031"/>
    <w:rsid w:val="00080BF5"/>
    <w:rsid w:val="000869A6"/>
    <w:rsid w:val="000928DA"/>
    <w:rsid w:val="000950EA"/>
    <w:rsid w:val="000A251E"/>
    <w:rsid w:val="000A6E58"/>
    <w:rsid w:val="000B2C48"/>
    <w:rsid w:val="000C1BB7"/>
    <w:rsid w:val="000C4E52"/>
    <w:rsid w:val="000D0671"/>
    <w:rsid w:val="000E20CD"/>
    <w:rsid w:val="000E24C1"/>
    <w:rsid w:val="000E2E90"/>
    <w:rsid w:val="000F0B37"/>
    <w:rsid w:val="000F3F0B"/>
    <w:rsid w:val="00110BD4"/>
    <w:rsid w:val="00131269"/>
    <w:rsid w:val="00144294"/>
    <w:rsid w:val="00153406"/>
    <w:rsid w:val="0015344C"/>
    <w:rsid w:val="00166BA7"/>
    <w:rsid w:val="001850AD"/>
    <w:rsid w:val="00186063"/>
    <w:rsid w:val="00196E15"/>
    <w:rsid w:val="001C0642"/>
    <w:rsid w:val="001C18CE"/>
    <w:rsid w:val="001C4D0B"/>
    <w:rsid w:val="001C5CEB"/>
    <w:rsid w:val="001D1951"/>
    <w:rsid w:val="001D7806"/>
    <w:rsid w:val="001F098B"/>
    <w:rsid w:val="001F1D19"/>
    <w:rsid w:val="001F5C26"/>
    <w:rsid w:val="0020748B"/>
    <w:rsid w:val="0022127A"/>
    <w:rsid w:val="00237863"/>
    <w:rsid w:val="00241670"/>
    <w:rsid w:val="002542BD"/>
    <w:rsid w:val="00256016"/>
    <w:rsid w:val="00257907"/>
    <w:rsid w:val="00257AE9"/>
    <w:rsid w:val="00260127"/>
    <w:rsid w:val="00263724"/>
    <w:rsid w:val="0029357C"/>
    <w:rsid w:val="002A20BA"/>
    <w:rsid w:val="002A3A70"/>
    <w:rsid w:val="002B1302"/>
    <w:rsid w:val="002B22DA"/>
    <w:rsid w:val="002E6A05"/>
    <w:rsid w:val="002F0C6D"/>
    <w:rsid w:val="002F236D"/>
    <w:rsid w:val="002F2C2F"/>
    <w:rsid w:val="002F5687"/>
    <w:rsid w:val="00300588"/>
    <w:rsid w:val="00300FE3"/>
    <w:rsid w:val="003022A9"/>
    <w:rsid w:val="0032372B"/>
    <w:rsid w:val="00325582"/>
    <w:rsid w:val="003311EF"/>
    <w:rsid w:val="00361503"/>
    <w:rsid w:val="00363A87"/>
    <w:rsid w:val="0037104F"/>
    <w:rsid w:val="003934E9"/>
    <w:rsid w:val="00393E4E"/>
    <w:rsid w:val="003A3508"/>
    <w:rsid w:val="003A4FA4"/>
    <w:rsid w:val="003B1EBE"/>
    <w:rsid w:val="003C3353"/>
    <w:rsid w:val="003C72CE"/>
    <w:rsid w:val="003E2AEF"/>
    <w:rsid w:val="003E6055"/>
    <w:rsid w:val="003F0A55"/>
    <w:rsid w:val="003F25B4"/>
    <w:rsid w:val="003F41F3"/>
    <w:rsid w:val="00404C9D"/>
    <w:rsid w:val="00411C84"/>
    <w:rsid w:val="00420329"/>
    <w:rsid w:val="00441C8F"/>
    <w:rsid w:val="00450207"/>
    <w:rsid w:val="004614E4"/>
    <w:rsid w:val="004922D9"/>
    <w:rsid w:val="004A29B3"/>
    <w:rsid w:val="004A2F14"/>
    <w:rsid w:val="004A3A69"/>
    <w:rsid w:val="004B25DD"/>
    <w:rsid w:val="004B25E6"/>
    <w:rsid w:val="004B6C9C"/>
    <w:rsid w:val="004D61A7"/>
    <w:rsid w:val="004D7CBF"/>
    <w:rsid w:val="004E1484"/>
    <w:rsid w:val="004E4585"/>
    <w:rsid w:val="004F32C3"/>
    <w:rsid w:val="004F614F"/>
    <w:rsid w:val="004F71E4"/>
    <w:rsid w:val="00500F9D"/>
    <w:rsid w:val="0050626A"/>
    <w:rsid w:val="00507240"/>
    <w:rsid w:val="00513A96"/>
    <w:rsid w:val="00520855"/>
    <w:rsid w:val="00531254"/>
    <w:rsid w:val="005458E9"/>
    <w:rsid w:val="005739C9"/>
    <w:rsid w:val="0057622E"/>
    <w:rsid w:val="0057795C"/>
    <w:rsid w:val="005805C5"/>
    <w:rsid w:val="00581FA7"/>
    <w:rsid w:val="00587509"/>
    <w:rsid w:val="00590805"/>
    <w:rsid w:val="00597F04"/>
    <w:rsid w:val="005A1696"/>
    <w:rsid w:val="005A6581"/>
    <w:rsid w:val="005A6991"/>
    <w:rsid w:val="005B11B5"/>
    <w:rsid w:val="005B3BD5"/>
    <w:rsid w:val="005B546A"/>
    <w:rsid w:val="005C5D42"/>
    <w:rsid w:val="005D3715"/>
    <w:rsid w:val="005F16CD"/>
    <w:rsid w:val="005F297D"/>
    <w:rsid w:val="005F7904"/>
    <w:rsid w:val="006057E2"/>
    <w:rsid w:val="00615395"/>
    <w:rsid w:val="00623BA8"/>
    <w:rsid w:val="00623EC6"/>
    <w:rsid w:val="00625A34"/>
    <w:rsid w:val="006275EC"/>
    <w:rsid w:val="006277D6"/>
    <w:rsid w:val="006316E6"/>
    <w:rsid w:val="0064689C"/>
    <w:rsid w:val="00653575"/>
    <w:rsid w:val="0066499B"/>
    <w:rsid w:val="00670F62"/>
    <w:rsid w:val="00683778"/>
    <w:rsid w:val="006A533A"/>
    <w:rsid w:val="00713F36"/>
    <w:rsid w:val="00722F83"/>
    <w:rsid w:val="007354C2"/>
    <w:rsid w:val="0073728C"/>
    <w:rsid w:val="0073794D"/>
    <w:rsid w:val="0074771A"/>
    <w:rsid w:val="00761CEB"/>
    <w:rsid w:val="00770A18"/>
    <w:rsid w:val="00784995"/>
    <w:rsid w:val="00784D7B"/>
    <w:rsid w:val="007A04EB"/>
    <w:rsid w:val="007C18EE"/>
    <w:rsid w:val="007C765A"/>
    <w:rsid w:val="007D197E"/>
    <w:rsid w:val="007D71CB"/>
    <w:rsid w:val="007E1E6F"/>
    <w:rsid w:val="007E6C08"/>
    <w:rsid w:val="007F2B44"/>
    <w:rsid w:val="00811ACB"/>
    <w:rsid w:val="00820520"/>
    <w:rsid w:val="00822BA3"/>
    <w:rsid w:val="00832C79"/>
    <w:rsid w:val="008439F9"/>
    <w:rsid w:val="00846B4F"/>
    <w:rsid w:val="0086236D"/>
    <w:rsid w:val="00865AD1"/>
    <w:rsid w:val="00874D24"/>
    <w:rsid w:val="0088734C"/>
    <w:rsid w:val="008A4040"/>
    <w:rsid w:val="008B0ED4"/>
    <w:rsid w:val="008C2C7D"/>
    <w:rsid w:val="008C4BFD"/>
    <w:rsid w:val="008E4B60"/>
    <w:rsid w:val="00927CE6"/>
    <w:rsid w:val="00933FCE"/>
    <w:rsid w:val="0093638D"/>
    <w:rsid w:val="00942017"/>
    <w:rsid w:val="00944976"/>
    <w:rsid w:val="00945B7A"/>
    <w:rsid w:val="009528AD"/>
    <w:rsid w:val="00964EB3"/>
    <w:rsid w:val="00973BA8"/>
    <w:rsid w:val="00984832"/>
    <w:rsid w:val="0098721F"/>
    <w:rsid w:val="009A3207"/>
    <w:rsid w:val="009A6833"/>
    <w:rsid w:val="009A6B6B"/>
    <w:rsid w:val="009B2585"/>
    <w:rsid w:val="009C405D"/>
    <w:rsid w:val="009E7642"/>
    <w:rsid w:val="009F2474"/>
    <w:rsid w:val="00A02642"/>
    <w:rsid w:val="00A14302"/>
    <w:rsid w:val="00A241CB"/>
    <w:rsid w:val="00A259DF"/>
    <w:rsid w:val="00A334C4"/>
    <w:rsid w:val="00A34748"/>
    <w:rsid w:val="00A36FE1"/>
    <w:rsid w:val="00A56DC9"/>
    <w:rsid w:val="00A77C31"/>
    <w:rsid w:val="00A91C9C"/>
    <w:rsid w:val="00A94E47"/>
    <w:rsid w:val="00A961FE"/>
    <w:rsid w:val="00AC1287"/>
    <w:rsid w:val="00AC696C"/>
    <w:rsid w:val="00AD2EE1"/>
    <w:rsid w:val="00AF4D5B"/>
    <w:rsid w:val="00B00C2F"/>
    <w:rsid w:val="00B04545"/>
    <w:rsid w:val="00B0717F"/>
    <w:rsid w:val="00B146DA"/>
    <w:rsid w:val="00B24F05"/>
    <w:rsid w:val="00B254A4"/>
    <w:rsid w:val="00B31741"/>
    <w:rsid w:val="00B35688"/>
    <w:rsid w:val="00B46F53"/>
    <w:rsid w:val="00B64F51"/>
    <w:rsid w:val="00B666C4"/>
    <w:rsid w:val="00B736A7"/>
    <w:rsid w:val="00B94D42"/>
    <w:rsid w:val="00BB1AF0"/>
    <w:rsid w:val="00BB42D9"/>
    <w:rsid w:val="00BB5A75"/>
    <w:rsid w:val="00BD252C"/>
    <w:rsid w:val="00BD3DBB"/>
    <w:rsid w:val="00BE66E3"/>
    <w:rsid w:val="00BE6F38"/>
    <w:rsid w:val="00BF01F3"/>
    <w:rsid w:val="00BF4251"/>
    <w:rsid w:val="00C205A5"/>
    <w:rsid w:val="00C55A42"/>
    <w:rsid w:val="00C6208A"/>
    <w:rsid w:val="00C74840"/>
    <w:rsid w:val="00C758DD"/>
    <w:rsid w:val="00C81B6E"/>
    <w:rsid w:val="00C85ED9"/>
    <w:rsid w:val="00C907FC"/>
    <w:rsid w:val="00C95138"/>
    <w:rsid w:val="00CA05C3"/>
    <w:rsid w:val="00CB5B01"/>
    <w:rsid w:val="00CB7CC1"/>
    <w:rsid w:val="00CC33D6"/>
    <w:rsid w:val="00CC65AD"/>
    <w:rsid w:val="00CD1013"/>
    <w:rsid w:val="00CD1D79"/>
    <w:rsid w:val="00CF6163"/>
    <w:rsid w:val="00D03410"/>
    <w:rsid w:val="00D039CD"/>
    <w:rsid w:val="00D15391"/>
    <w:rsid w:val="00D17B37"/>
    <w:rsid w:val="00D21D9F"/>
    <w:rsid w:val="00D307F0"/>
    <w:rsid w:val="00D31ED2"/>
    <w:rsid w:val="00D32813"/>
    <w:rsid w:val="00D360E5"/>
    <w:rsid w:val="00D51E6A"/>
    <w:rsid w:val="00D7538A"/>
    <w:rsid w:val="00D84159"/>
    <w:rsid w:val="00D866BD"/>
    <w:rsid w:val="00D91928"/>
    <w:rsid w:val="00D9728C"/>
    <w:rsid w:val="00DA276C"/>
    <w:rsid w:val="00DC54FA"/>
    <w:rsid w:val="00DD3EF2"/>
    <w:rsid w:val="00DF2DA1"/>
    <w:rsid w:val="00E06AC6"/>
    <w:rsid w:val="00E33973"/>
    <w:rsid w:val="00E42830"/>
    <w:rsid w:val="00E568AD"/>
    <w:rsid w:val="00E57D16"/>
    <w:rsid w:val="00E658D3"/>
    <w:rsid w:val="00E66A2A"/>
    <w:rsid w:val="00E71655"/>
    <w:rsid w:val="00E77238"/>
    <w:rsid w:val="00E8470D"/>
    <w:rsid w:val="00E947AC"/>
    <w:rsid w:val="00EA310F"/>
    <w:rsid w:val="00EA3689"/>
    <w:rsid w:val="00EB3E25"/>
    <w:rsid w:val="00EB4AB3"/>
    <w:rsid w:val="00EC0938"/>
    <w:rsid w:val="00ED0E75"/>
    <w:rsid w:val="00ED593A"/>
    <w:rsid w:val="00EE005E"/>
    <w:rsid w:val="00EE5D9C"/>
    <w:rsid w:val="00F06FED"/>
    <w:rsid w:val="00F115A7"/>
    <w:rsid w:val="00F13DBC"/>
    <w:rsid w:val="00F1543E"/>
    <w:rsid w:val="00F20D3C"/>
    <w:rsid w:val="00F244F0"/>
    <w:rsid w:val="00F2549C"/>
    <w:rsid w:val="00F27E53"/>
    <w:rsid w:val="00F31306"/>
    <w:rsid w:val="00F32DAC"/>
    <w:rsid w:val="00F45EEE"/>
    <w:rsid w:val="00F54970"/>
    <w:rsid w:val="00F84B1E"/>
    <w:rsid w:val="00FA67D2"/>
    <w:rsid w:val="00FB0533"/>
    <w:rsid w:val="00FB064D"/>
    <w:rsid w:val="00FB4D6E"/>
    <w:rsid w:val="00FD638B"/>
    <w:rsid w:val="00FE5356"/>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66AA1BC4"/>
  <w15:docId w15:val="{D42AE34B-497F-40F6-9DD4-A43735B2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customStyle="1" w:styleId="Normal3">
    <w:name w:val="Normal3"/>
    <w:basedOn w:val="normal2"/>
    <w:link w:val="Normal3Char"/>
    <w:qFormat/>
    <w:rsid w:val="00F84B1E"/>
    <w:pPr>
      <w:numPr>
        <w:numId w:val="9"/>
      </w:numPr>
    </w:pPr>
  </w:style>
  <w:style w:type="character" w:customStyle="1" w:styleId="Normal3Char">
    <w:name w:val="Normal3 Char"/>
    <w:basedOn w:val="normal2Char"/>
    <w:link w:val="Normal3"/>
    <w:rsid w:val="00F84B1E"/>
    <w:rPr>
      <w:rFonts w:ascii="Helvetica" w:eastAsiaTheme="majorEastAsia" w:hAnsi="Helvetica" w:cs="Helvetica"/>
      <w:kern w:val="32"/>
      <w:sz w:val="22"/>
      <w:szCs w:val="22"/>
      <w:lang w:val="en-GB"/>
    </w:rPr>
  </w:style>
  <w:style w:type="paragraph" w:styleId="Revision">
    <w:name w:val="Revision"/>
    <w:hidden/>
    <w:uiPriority w:val="71"/>
    <w:semiHidden/>
    <w:rsid w:val="000C1BB7"/>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B6588-F5F7-4EA0-BD59-C1115B9F1776}">
  <ds:schemaRefs>
    <ds:schemaRef ds:uri="http://schemas.openxmlformats.org/officeDocument/2006/bibliography"/>
  </ds:schemaRefs>
</ds:datastoreItem>
</file>

<file path=customXml/itemProps2.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51</TotalTime>
  <Pages>7</Pages>
  <Words>793</Words>
  <Characters>3960</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4715</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creator>Mohamed Mustafa Ahmed Al Lawati</dc:creator>
  <cp:lastModifiedBy>Omantel</cp:lastModifiedBy>
  <cp:revision>28</cp:revision>
  <cp:lastPrinted>2025-10-26T21:39:00Z</cp:lastPrinted>
  <dcterms:created xsi:type="dcterms:W3CDTF">2018-02-21T08:53:00Z</dcterms:created>
  <dcterms:modified xsi:type="dcterms:W3CDTF">2025-10-26T21:39:00Z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y fmtid="{D5CDD505-2E9C-101B-9397-08002B2CF9AE}" pid="3" name="GrammarlyDocumentId">
    <vt:lpwstr>50730c93428f0288a31e64bc760fc5cbd22b5c77f028e2d7dc5ff778365e8cbf</vt:lpwstr>
  </property>
</Properties>
</file>