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BF92" w14:textId="38B50326" w:rsidR="0029357C" w:rsidRPr="00A70C58" w:rsidRDefault="00CB3CD4"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5D37760A" wp14:editId="4ED0BB79">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D3AA" w14:textId="77777777" w:rsidR="007459D1" w:rsidRPr="00822BA3" w:rsidRDefault="007459D1"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A1CC8C5" w14:textId="77777777" w:rsidR="007459D1" w:rsidRPr="00822BA3" w:rsidRDefault="007459D1" w:rsidP="0035515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3C7D16">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w:t>
                            </w:r>
                            <w:r w:rsidR="0035515E">
                              <w:rPr>
                                <w:rFonts w:ascii="Helvetica" w:hAnsi="Helvetica"/>
                                <w:b w:val="0"/>
                                <w:color w:val="00559B"/>
                                <w:sz w:val="40"/>
                                <w:szCs w:val="40"/>
                              </w:rPr>
                              <w:t>E Technical Specification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7760A"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0738D3AA" w14:textId="77777777" w:rsidR="007459D1" w:rsidRPr="00822BA3" w:rsidRDefault="007459D1"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A1CC8C5" w14:textId="77777777" w:rsidR="007459D1" w:rsidRPr="00822BA3" w:rsidRDefault="007459D1" w:rsidP="0035515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Reference Access and Interconnect</w:t>
                      </w:r>
                      <w:r w:rsidR="003C7D16">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Sub Annex </w:t>
                      </w:r>
                      <w:r w:rsidR="0035515E">
                        <w:rPr>
                          <w:rFonts w:ascii="Helvetica" w:hAnsi="Helvetica"/>
                          <w:b w:val="0"/>
                          <w:color w:val="00559B"/>
                          <w:sz w:val="40"/>
                          <w:szCs w:val="40"/>
                        </w:rPr>
                        <w:t>E Technical Specification</w:t>
                      </w:r>
                    </w:p>
                  </w:txbxContent>
                </v:textbox>
                <w10:wrap type="tight" anchorx="page" anchory="page"/>
              </v:shape>
            </w:pict>
          </mc:Fallback>
        </mc:AlternateContent>
      </w:r>
    </w:p>
    <w:p w14:paraId="1C5B3A5A" w14:textId="77777777" w:rsidR="003F41F3" w:rsidRPr="00F2549C" w:rsidRDefault="00395FC9">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FF4750">
        <w:rPr>
          <w:color w:val="4A93D1"/>
          <w:sz w:val="32"/>
          <w:szCs w:val="32"/>
          <w:u w:val="single"/>
        </w:rPr>
        <w:t>s</w:t>
      </w:r>
    </w:p>
    <w:p w14:paraId="72DA6143" w14:textId="77777777" w:rsidR="003F41F3" w:rsidRDefault="003F41F3">
      <w:pPr>
        <w:spacing w:after="0" w:line="240" w:lineRule="auto"/>
        <w:rPr>
          <w:rFonts w:eastAsia="Times"/>
          <w:kern w:val="32"/>
          <w:sz w:val="24"/>
        </w:rPr>
      </w:pPr>
    </w:p>
    <w:p w14:paraId="28D85310" w14:textId="20F699FE" w:rsidR="00BA79D6" w:rsidRDefault="001232E7">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124964" w:history="1">
        <w:r w:rsidR="00BA79D6" w:rsidRPr="00481D4B">
          <w:rPr>
            <w:rStyle w:val="Hyperlink"/>
          </w:rPr>
          <w:t>1</w:t>
        </w:r>
        <w:r w:rsidR="00BA79D6">
          <w:rPr>
            <w:rFonts w:asciiTheme="minorHAnsi" w:eastAsiaTheme="minorEastAsia" w:hAnsiTheme="minorHAnsi" w:cstheme="minorBidi"/>
            <w:b w:val="0"/>
            <w:color w:val="auto"/>
            <w:kern w:val="2"/>
            <w:szCs w:val="24"/>
            <w14:ligatures w14:val="standardContextual"/>
          </w:rPr>
          <w:tab/>
        </w:r>
        <w:r w:rsidR="00BA79D6" w:rsidRPr="00481D4B">
          <w:rPr>
            <w:rStyle w:val="Hyperlink"/>
          </w:rPr>
          <w:t>General</w:t>
        </w:r>
        <w:r w:rsidR="00BA79D6">
          <w:rPr>
            <w:webHidden/>
          </w:rPr>
          <w:tab/>
        </w:r>
        <w:r w:rsidR="00BA79D6">
          <w:rPr>
            <w:webHidden/>
          </w:rPr>
          <w:fldChar w:fldCharType="begin"/>
        </w:r>
        <w:r w:rsidR="00BA79D6">
          <w:rPr>
            <w:webHidden/>
          </w:rPr>
          <w:instrText xml:space="preserve"> PAGEREF _Toc219124964 \h </w:instrText>
        </w:r>
        <w:r w:rsidR="00BA79D6">
          <w:rPr>
            <w:webHidden/>
          </w:rPr>
        </w:r>
        <w:r w:rsidR="00BA79D6">
          <w:rPr>
            <w:webHidden/>
          </w:rPr>
          <w:fldChar w:fldCharType="separate"/>
        </w:r>
        <w:r w:rsidR="000E23AB">
          <w:rPr>
            <w:webHidden/>
          </w:rPr>
          <w:t>3</w:t>
        </w:r>
        <w:r w:rsidR="00BA79D6">
          <w:rPr>
            <w:webHidden/>
          </w:rPr>
          <w:fldChar w:fldCharType="end"/>
        </w:r>
      </w:hyperlink>
    </w:p>
    <w:p w14:paraId="0DF76010" w14:textId="551A4698"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65" w:history="1">
        <w:r w:rsidRPr="00481D4B">
          <w:rPr>
            <w:rStyle w:val="Hyperlink"/>
          </w:rPr>
          <w:t>2</w:t>
        </w:r>
        <w:r>
          <w:rPr>
            <w:rFonts w:asciiTheme="minorHAnsi" w:eastAsiaTheme="minorEastAsia" w:hAnsiTheme="minorHAnsi" w:cstheme="minorBidi"/>
            <w:b w:val="0"/>
            <w:color w:val="auto"/>
            <w:kern w:val="2"/>
            <w:szCs w:val="24"/>
            <w14:ligatures w14:val="standardContextual"/>
          </w:rPr>
          <w:tab/>
        </w:r>
        <w:r w:rsidRPr="00481D4B">
          <w:rPr>
            <w:rStyle w:val="Hyperlink"/>
          </w:rPr>
          <w:t>Physical and Electrical Interface</w:t>
        </w:r>
        <w:r>
          <w:rPr>
            <w:webHidden/>
          </w:rPr>
          <w:tab/>
        </w:r>
        <w:r>
          <w:rPr>
            <w:webHidden/>
          </w:rPr>
          <w:fldChar w:fldCharType="begin"/>
        </w:r>
        <w:r>
          <w:rPr>
            <w:webHidden/>
          </w:rPr>
          <w:instrText xml:space="preserve"> PAGEREF _Toc219124965 \h </w:instrText>
        </w:r>
        <w:r>
          <w:rPr>
            <w:webHidden/>
          </w:rPr>
        </w:r>
        <w:r>
          <w:rPr>
            <w:webHidden/>
          </w:rPr>
          <w:fldChar w:fldCharType="separate"/>
        </w:r>
        <w:r w:rsidR="000E23AB">
          <w:rPr>
            <w:webHidden/>
          </w:rPr>
          <w:t>4</w:t>
        </w:r>
        <w:r>
          <w:rPr>
            <w:webHidden/>
          </w:rPr>
          <w:fldChar w:fldCharType="end"/>
        </w:r>
      </w:hyperlink>
    </w:p>
    <w:p w14:paraId="662CF1B8" w14:textId="31F36719"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66" w:history="1">
        <w:r w:rsidRPr="00481D4B">
          <w:rPr>
            <w:rStyle w:val="Hyperlink"/>
          </w:rPr>
          <w:t>3</w:t>
        </w:r>
        <w:r>
          <w:rPr>
            <w:rFonts w:asciiTheme="minorHAnsi" w:eastAsiaTheme="minorEastAsia" w:hAnsiTheme="minorHAnsi" w:cstheme="minorBidi"/>
            <w:b w:val="0"/>
            <w:color w:val="auto"/>
            <w:kern w:val="2"/>
            <w:szCs w:val="24"/>
            <w14:ligatures w14:val="standardContextual"/>
          </w:rPr>
          <w:tab/>
        </w:r>
        <w:r w:rsidRPr="00481D4B">
          <w:rPr>
            <w:rStyle w:val="Hyperlink"/>
          </w:rPr>
          <w:t>Transmission</w:t>
        </w:r>
        <w:r>
          <w:rPr>
            <w:webHidden/>
          </w:rPr>
          <w:tab/>
        </w:r>
        <w:r>
          <w:rPr>
            <w:webHidden/>
          </w:rPr>
          <w:fldChar w:fldCharType="begin"/>
        </w:r>
        <w:r>
          <w:rPr>
            <w:webHidden/>
          </w:rPr>
          <w:instrText xml:space="preserve"> PAGEREF _Toc219124966 \h </w:instrText>
        </w:r>
        <w:r>
          <w:rPr>
            <w:webHidden/>
          </w:rPr>
        </w:r>
        <w:r>
          <w:rPr>
            <w:webHidden/>
          </w:rPr>
          <w:fldChar w:fldCharType="separate"/>
        </w:r>
        <w:r w:rsidR="000E23AB">
          <w:rPr>
            <w:webHidden/>
          </w:rPr>
          <w:t>8</w:t>
        </w:r>
        <w:r>
          <w:rPr>
            <w:webHidden/>
          </w:rPr>
          <w:fldChar w:fldCharType="end"/>
        </w:r>
      </w:hyperlink>
    </w:p>
    <w:p w14:paraId="65420A9D" w14:textId="27D4EA1A"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67" w:history="1">
        <w:r w:rsidRPr="00481D4B">
          <w:rPr>
            <w:rStyle w:val="Hyperlink"/>
          </w:rPr>
          <w:t>4</w:t>
        </w:r>
        <w:r>
          <w:rPr>
            <w:rFonts w:asciiTheme="minorHAnsi" w:eastAsiaTheme="minorEastAsia" w:hAnsiTheme="minorHAnsi" w:cstheme="minorBidi"/>
            <w:b w:val="0"/>
            <w:color w:val="auto"/>
            <w:kern w:val="2"/>
            <w:szCs w:val="24"/>
            <w14:ligatures w14:val="standardContextual"/>
          </w:rPr>
          <w:tab/>
        </w:r>
        <w:r w:rsidRPr="00481D4B">
          <w:rPr>
            <w:rStyle w:val="Hyperlink"/>
          </w:rPr>
          <w:t>Synchronization</w:t>
        </w:r>
        <w:r>
          <w:rPr>
            <w:webHidden/>
          </w:rPr>
          <w:tab/>
        </w:r>
        <w:r>
          <w:rPr>
            <w:webHidden/>
          </w:rPr>
          <w:fldChar w:fldCharType="begin"/>
        </w:r>
        <w:r>
          <w:rPr>
            <w:webHidden/>
          </w:rPr>
          <w:instrText xml:space="preserve"> PAGEREF _Toc219124967 \h </w:instrText>
        </w:r>
        <w:r>
          <w:rPr>
            <w:webHidden/>
          </w:rPr>
        </w:r>
        <w:r>
          <w:rPr>
            <w:webHidden/>
          </w:rPr>
          <w:fldChar w:fldCharType="separate"/>
        </w:r>
        <w:r w:rsidR="000E23AB">
          <w:rPr>
            <w:webHidden/>
          </w:rPr>
          <w:t>10</w:t>
        </w:r>
        <w:r>
          <w:rPr>
            <w:webHidden/>
          </w:rPr>
          <w:fldChar w:fldCharType="end"/>
        </w:r>
      </w:hyperlink>
    </w:p>
    <w:p w14:paraId="319E2305" w14:textId="775E373E"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68" w:history="1">
        <w:r w:rsidRPr="00481D4B">
          <w:rPr>
            <w:rStyle w:val="Hyperlink"/>
          </w:rPr>
          <w:t>5</w:t>
        </w:r>
        <w:r>
          <w:rPr>
            <w:rFonts w:asciiTheme="minorHAnsi" w:eastAsiaTheme="minorEastAsia" w:hAnsiTheme="minorHAnsi" w:cstheme="minorBidi"/>
            <w:b w:val="0"/>
            <w:color w:val="auto"/>
            <w:kern w:val="2"/>
            <w:szCs w:val="24"/>
            <w14:ligatures w14:val="standardContextual"/>
          </w:rPr>
          <w:tab/>
        </w:r>
        <w:r w:rsidRPr="00481D4B">
          <w:rPr>
            <w:rStyle w:val="Hyperlink"/>
          </w:rPr>
          <w:t>SS7</w:t>
        </w:r>
        <w:r>
          <w:rPr>
            <w:webHidden/>
          </w:rPr>
          <w:tab/>
        </w:r>
        <w:r>
          <w:rPr>
            <w:webHidden/>
          </w:rPr>
          <w:fldChar w:fldCharType="begin"/>
        </w:r>
        <w:r>
          <w:rPr>
            <w:webHidden/>
          </w:rPr>
          <w:instrText xml:space="preserve"> PAGEREF _Toc219124968 \h </w:instrText>
        </w:r>
        <w:r>
          <w:rPr>
            <w:webHidden/>
          </w:rPr>
        </w:r>
        <w:r>
          <w:rPr>
            <w:webHidden/>
          </w:rPr>
          <w:fldChar w:fldCharType="separate"/>
        </w:r>
        <w:r w:rsidR="000E23AB">
          <w:rPr>
            <w:webHidden/>
          </w:rPr>
          <w:t>11</w:t>
        </w:r>
        <w:r>
          <w:rPr>
            <w:webHidden/>
          </w:rPr>
          <w:fldChar w:fldCharType="end"/>
        </w:r>
      </w:hyperlink>
    </w:p>
    <w:p w14:paraId="1AB24592" w14:textId="11A3C464"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69" w:history="1">
        <w:r w:rsidRPr="00481D4B">
          <w:rPr>
            <w:rStyle w:val="Hyperlink"/>
          </w:rPr>
          <w:t>6</w:t>
        </w:r>
        <w:r>
          <w:rPr>
            <w:rFonts w:asciiTheme="minorHAnsi" w:eastAsiaTheme="minorEastAsia" w:hAnsiTheme="minorHAnsi" w:cstheme="minorBidi"/>
            <w:b w:val="0"/>
            <w:color w:val="auto"/>
            <w:kern w:val="2"/>
            <w:szCs w:val="24"/>
            <w14:ligatures w14:val="standardContextual"/>
          </w:rPr>
          <w:tab/>
        </w:r>
        <w:r w:rsidRPr="00481D4B">
          <w:rPr>
            <w:rStyle w:val="Hyperlink"/>
          </w:rPr>
          <w:t>SS7 Message Transfer Part</w:t>
        </w:r>
        <w:r>
          <w:rPr>
            <w:webHidden/>
          </w:rPr>
          <w:tab/>
        </w:r>
        <w:r>
          <w:rPr>
            <w:webHidden/>
          </w:rPr>
          <w:fldChar w:fldCharType="begin"/>
        </w:r>
        <w:r>
          <w:rPr>
            <w:webHidden/>
          </w:rPr>
          <w:instrText xml:space="preserve"> PAGEREF _Toc219124969 \h </w:instrText>
        </w:r>
        <w:r>
          <w:rPr>
            <w:webHidden/>
          </w:rPr>
        </w:r>
        <w:r>
          <w:rPr>
            <w:webHidden/>
          </w:rPr>
          <w:fldChar w:fldCharType="separate"/>
        </w:r>
        <w:r w:rsidR="000E23AB">
          <w:rPr>
            <w:webHidden/>
          </w:rPr>
          <w:t>12</w:t>
        </w:r>
        <w:r>
          <w:rPr>
            <w:webHidden/>
          </w:rPr>
          <w:fldChar w:fldCharType="end"/>
        </w:r>
      </w:hyperlink>
    </w:p>
    <w:p w14:paraId="4423A1D8" w14:textId="0CDC2EC1"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70" w:history="1">
        <w:r w:rsidRPr="00481D4B">
          <w:rPr>
            <w:rStyle w:val="Hyperlink"/>
          </w:rPr>
          <w:t>7</w:t>
        </w:r>
        <w:r>
          <w:rPr>
            <w:rFonts w:asciiTheme="minorHAnsi" w:eastAsiaTheme="minorEastAsia" w:hAnsiTheme="minorHAnsi" w:cstheme="minorBidi"/>
            <w:b w:val="0"/>
            <w:color w:val="auto"/>
            <w:kern w:val="2"/>
            <w:szCs w:val="24"/>
            <w14:ligatures w14:val="standardContextual"/>
          </w:rPr>
          <w:tab/>
        </w:r>
        <w:r w:rsidRPr="00481D4B">
          <w:rPr>
            <w:rStyle w:val="Hyperlink"/>
          </w:rPr>
          <w:t>SS7 ISDN User Part</w:t>
        </w:r>
        <w:r>
          <w:rPr>
            <w:webHidden/>
          </w:rPr>
          <w:tab/>
        </w:r>
        <w:r>
          <w:rPr>
            <w:webHidden/>
          </w:rPr>
          <w:fldChar w:fldCharType="begin"/>
        </w:r>
        <w:r>
          <w:rPr>
            <w:webHidden/>
          </w:rPr>
          <w:instrText xml:space="preserve"> PAGEREF _Toc219124970 \h </w:instrText>
        </w:r>
        <w:r>
          <w:rPr>
            <w:webHidden/>
          </w:rPr>
        </w:r>
        <w:r>
          <w:rPr>
            <w:webHidden/>
          </w:rPr>
          <w:fldChar w:fldCharType="separate"/>
        </w:r>
        <w:r w:rsidR="000E23AB">
          <w:rPr>
            <w:webHidden/>
          </w:rPr>
          <w:t>13</w:t>
        </w:r>
        <w:r>
          <w:rPr>
            <w:webHidden/>
          </w:rPr>
          <w:fldChar w:fldCharType="end"/>
        </w:r>
      </w:hyperlink>
    </w:p>
    <w:p w14:paraId="2604B0F7" w14:textId="1FB81345"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71" w:history="1">
        <w:r w:rsidRPr="00481D4B">
          <w:rPr>
            <w:rStyle w:val="Hyperlink"/>
          </w:rPr>
          <w:t>8</w:t>
        </w:r>
        <w:r>
          <w:rPr>
            <w:rFonts w:asciiTheme="minorHAnsi" w:eastAsiaTheme="minorEastAsia" w:hAnsiTheme="minorHAnsi" w:cstheme="minorBidi"/>
            <w:b w:val="0"/>
            <w:color w:val="auto"/>
            <w:kern w:val="2"/>
            <w:szCs w:val="24"/>
            <w14:ligatures w14:val="standardContextual"/>
          </w:rPr>
          <w:tab/>
        </w:r>
        <w:r w:rsidRPr="00481D4B">
          <w:rPr>
            <w:rStyle w:val="Hyperlink"/>
          </w:rPr>
          <w:t>Short Message Service (SMS)</w:t>
        </w:r>
        <w:r>
          <w:rPr>
            <w:webHidden/>
          </w:rPr>
          <w:tab/>
        </w:r>
        <w:r>
          <w:rPr>
            <w:webHidden/>
          </w:rPr>
          <w:fldChar w:fldCharType="begin"/>
        </w:r>
        <w:r>
          <w:rPr>
            <w:webHidden/>
          </w:rPr>
          <w:instrText xml:space="preserve"> PAGEREF _Toc219124971 \h </w:instrText>
        </w:r>
        <w:r>
          <w:rPr>
            <w:webHidden/>
          </w:rPr>
        </w:r>
        <w:r>
          <w:rPr>
            <w:webHidden/>
          </w:rPr>
          <w:fldChar w:fldCharType="separate"/>
        </w:r>
        <w:r w:rsidR="000E23AB">
          <w:rPr>
            <w:webHidden/>
          </w:rPr>
          <w:t>14</w:t>
        </w:r>
        <w:r>
          <w:rPr>
            <w:webHidden/>
          </w:rPr>
          <w:fldChar w:fldCharType="end"/>
        </w:r>
      </w:hyperlink>
    </w:p>
    <w:p w14:paraId="1D05B0E0" w14:textId="5CFC7FF4"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72" w:history="1">
        <w:r w:rsidRPr="00481D4B">
          <w:rPr>
            <w:rStyle w:val="Hyperlink"/>
          </w:rPr>
          <w:t>9</w:t>
        </w:r>
        <w:r>
          <w:rPr>
            <w:rFonts w:asciiTheme="minorHAnsi" w:eastAsiaTheme="minorEastAsia" w:hAnsiTheme="minorHAnsi" w:cstheme="minorBidi"/>
            <w:b w:val="0"/>
            <w:color w:val="auto"/>
            <w:kern w:val="2"/>
            <w:szCs w:val="24"/>
            <w14:ligatures w14:val="standardContextual"/>
          </w:rPr>
          <w:tab/>
        </w:r>
        <w:r w:rsidRPr="00481D4B">
          <w:rPr>
            <w:rStyle w:val="Hyperlink"/>
          </w:rPr>
          <w:t>SIP based Interconnection Services</w:t>
        </w:r>
        <w:r>
          <w:rPr>
            <w:webHidden/>
          </w:rPr>
          <w:tab/>
        </w:r>
        <w:r>
          <w:rPr>
            <w:webHidden/>
          </w:rPr>
          <w:fldChar w:fldCharType="begin"/>
        </w:r>
        <w:r>
          <w:rPr>
            <w:webHidden/>
          </w:rPr>
          <w:instrText xml:space="preserve"> PAGEREF _Toc219124972 \h </w:instrText>
        </w:r>
        <w:r>
          <w:rPr>
            <w:webHidden/>
          </w:rPr>
        </w:r>
        <w:r>
          <w:rPr>
            <w:webHidden/>
          </w:rPr>
          <w:fldChar w:fldCharType="separate"/>
        </w:r>
        <w:r w:rsidR="000E23AB">
          <w:rPr>
            <w:webHidden/>
          </w:rPr>
          <w:t>15</w:t>
        </w:r>
        <w:r>
          <w:rPr>
            <w:webHidden/>
          </w:rPr>
          <w:fldChar w:fldCharType="end"/>
        </w:r>
      </w:hyperlink>
    </w:p>
    <w:p w14:paraId="7E5F3D3D" w14:textId="016C5B5B" w:rsidR="00BA79D6" w:rsidRDefault="00BA79D6">
      <w:pPr>
        <w:pStyle w:val="TOC1"/>
        <w:rPr>
          <w:rFonts w:asciiTheme="minorHAnsi" w:eastAsiaTheme="minorEastAsia" w:hAnsiTheme="minorHAnsi" w:cstheme="minorBidi"/>
          <w:b w:val="0"/>
          <w:color w:val="auto"/>
          <w:kern w:val="2"/>
          <w:szCs w:val="24"/>
          <w14:ligatures w14:val="standardContextual"/>
        </w:rPr>
      </w:pPr>
      <w:hyperlink w:anchor="_Toc219124973" w:history="1">
        <w:r w:rsidRPr="00481D4B">
          <w:rPr>
            <w:rStyle w:val="Hyperlink"/>
          </w:rPr>
          <w:t>10</w:t>
        </w:r>
        <w:r>
          <w:rPr>
            <w:rFonts w:asciiTheme="minorHAnsi" w:eastAsiaTheme="minorEastAsia" w:hAnsiTheme="minorHAnsi" w:cstheme="minorBidi"/>
            <w:b w:val="0"/>
            <w:color w:val="auto"/>
            <w:kern w:val="2"/>
            <w:szCs w:val="24"/>
            <w14:ligatures w14:val="standardContextual"/>
          </w:rPr>
          <w:tab/>
        </w:r>
        <w:r w:rsidRPr="00481D4B">
          <w:rPr>
            <w:rStyle w:val="Hyperlink"/>
          </w:rPr>
          <w:t>The Requesting Party and his Customers’ equipment</w:t>
        </w:r>
        <w:r>
          <w:rPr>
            <w:webHidden/>
          </w:rPr>
          <w:tab/>
        </w:r>
        <w:r>
          <w:rPr>
            <w:webHidden/>
          </w:rPr>
          <w:fldChar w:fldCharType="begin"/>
        </w:r>
        <w:r>
          <w:rPr>
            <w:webHidden/>
          </w:rPr>
          <w:instrText xml:space="preserve"> PAGEREF _Toc219124973 \h </w:instrText>
        </w:r>
        <w:r>
          <w:rPr>
            <w:webHidden/>
          </w:rPr>
        </w:r>
        <w:r>
          <w:rPr>
            <w:webHidden/>
          </w:rPr>
          <w:fldChar w:fldCharType="separate"/>
        </w:r>
        <w:r w:rsidR="000E23AB">
          <w:rPr>
            <w:webHidden/>
          </w:rPr>
          <w:t>16</w:t>
        </w:r>
        <w:r>
          <w:rPr>
            <w:webHidden/>
          </w:rPr>
          <w:fldChar w:fldCharType="end"/>
        </w:r>
      </w:hyperlink>
    </w:p>
    <w:p w14:paraId="6FC7AB80" w14:textId="6CA2B86A" w:rsidR="0029357C" w:rsidRDefault="001232E7" w:rsidP="00325582">
      <w:pPr>
        <w:pStyle w:val="IndexTOC"/>
        <w:tabs>
          <w:tab w:val="right" w:pos="8805"/>
          <w:tab w:val="right" w:leader="dot" w:pos="9000"/>
        </w:tabs>
        <w:spacing w:after="120"/>
        <w:ind w:right="1886"/>
        <w:rPr>
          <w:color w:val="000000"/>
        </w:rPr>
      </w:pPr>
      <w:r w:rsidRPr="00325582">
        <w:rPr>
          <w:bCs/>
          <w:color w:val="000000"/>
        </w:rPr>
        <w:fldChar w:fldCharType="end"/>
      </w:r>
    </w:p>
    <w:p w14:paraId="5A0B35E0" w14:textId="77777777" w:rsidR="00EA310F" w:rsidRDefault="00EA310F" w:rsidP="002542BD">
      <w:pPr>
        <w:pStyle w:val="Heading1"/>
      </w:pPr>
      <w:bookmarkStart w:id="0" w:name="_Toc219124964"/>
      <w:r>
        <w:lastRenderedPageBreak/>
        <w:t>General</w:t>
      </w:r>
      <w:bookmarkEnd w:id="0"/>
      <w:r>
        <w:t xml:space="preserve"> </w:t>
      </w:r>
    </w:p>
    <w:p w14:paraId="7B1EAD42" w14:textId="77777777" w:rsidR="00257AE9" w:rsidRDefault="00D67389" w:rsidP="004C50A0">
      <w:pPr>
        <w:pStyle w:val="ListParagraph"/>
      </w:pPr>
      <w:r w:rsidRPr="00035614">
        <w:t xml:space="preserve">This </w:t>
      </w:r>
      <w:r>
        <w:t xml:space="preserve">Sub Annex </w:t>
      </w:r>
      <w:r w:rsidRPr="00035614">
        <w:t xml:space="preserve">sets out </w:t>
      </w:r>
      <w:r>
        <w:t xml:space="preserve">the </w:t>
      </w:r>
      <w:r w:rsidR="0035515E">
        <w:t>technical specification</w:t>
      </w:r>
      <w:r w:rsidR="00484E76">
        <w:t>s</w:t>
      </w:r>
      <w:r w:rsidR="0035515E">
        <w:t xml:space="preserve"> </w:t>
      </w:r>
      <w:r w:rsidR="004C50A0">
        <w:t>of Omantel</w:t>
      </w:r>
      <w:r w:rsidR="00484E76">
        <w:t>’s</w:t>
      </w:r>
      <w:r w:rsidR="004C50A0">
        <w:t xml:space="preserve"> Network</w:t>
      </w:r>
      <w:r w:rsidR="00257AE9">
        <w:t>.</w:t>
      </w:r>
    </w:p>
    <w:p w14:paraId="62E9C9D7" w14:textId="77777777" w:rsidR="00257AE9" w:rsidRPr="00031D1C" w:rsidRDefault="00257AE9" w:rsidP="00257AE9">
      <w:pPr>
        <w:pStyle w:val="ListParagraph"/>
        <w:numPr>
          <w:ilvl w:val="0"/>
          <w:numId w:val="0"/>
        </w:numPr>
        <w:ind w:left="864"/>
      </w:pPr>
    </w:p>
    <w:p w14:paraId="3DF12987" w14:textId="77777777" w:rsidR="00EA310F" w:rsidRPr="00EA310F" w:rsidRDefault="00EA310F" w:rsidP="00EA310F"/>
    <w:p w14:paraId="67D2F383" w14:textId="77777777" w:rsidR="00B736A7" w:rsidRPr="00615395" w:rsidRDefault="00B736A7" w:rsidP="0096263D">
      <w:pPr>
        <w:pStyle w:val="ListParagraph2"/>
        <w:numPr>
          <w:ilvl w:val="0"/>
          <w:numId w:val="0"/>
        </w:numPr>
        <w:ind w:left="864"/>
      </w:pPr>
    </w:p>
    <w:p w14:paraId="22D4CFC5" w14:textId="77777777" w:rsidR="00257AE9" w:rsidRDefault="004B22B0" w:rsidP="004B22B0">
      <w:pPr>
        <w:pStyle w:val="Heading1"/>
      </w:pPr>
      <w:bookmarkStart w:id="1" w:name="_Toc219124965"/>
      <w:r>
        <w:lastRenderedPageBreak/>
        <w:t>Physical and Electrical Interface</w:t>
      </w:r>
      <w:bookmarkEnd w:id="1"/>
    </w:p>
    <w:p w14:paraId="5933709D" w14:textId="77777777" w:rsidR="00BC1812" w:rsidRDefault="00BC1812" w:rsidP="00F42B20">
      <w:pPr>
        <w:pStyle w:val="ListParagraph"/>
      </w:pPr>
      <w:r>
        <w:t>Specification</w:t>
      </w:r>
      <w:r w:rsidR="00484E76">
        <w:t>s</w:t>
      </w:r>
      <w:r>
        <w:t xml:space="preserve"> at the Output STM-1 155 Mbit/S Optical interface (G.828 Compliant)</w:t>
      </w:r>
    </w:p>
    <w:tbl>
      <w:tblPr>
        <w:tblStyle w:val="TableGridLight1"/>
        <w:tblW w:w="8707" w:type="dxa"/>
        <w:tblInd w:w="1008" w:type="dxa"/>
        <w:tblLayout w:type="fixed"/>
        <w:tblLook w:val="04A0" w:firstRow="1" w:lastRow="0" w:firstColumn="1" w:lastColumn="0" w:noHBand="0" w:noVBand="1"/>
      </w:tblPr>
      <w:tblGrid>
        <w:gridCol w:w="3150"/>
        <w:gridCol w:w="5557"/>
      </w:tblGrid>
      <w:tr w:rsidR="00941274" w:rsidRPr="006E61B6" w14:paraId="1AD70C30" w14:textId="77777777" w:rsidTr="001A0729">
        <w:trPr>
          <w:trHeight w:val="418"/>
        </w:trPr>
        <w:tc>
          <w:tcPr>
            <w:tcW w:w="3150" w:type="dxa"/>
            <w:shd w:val="clear" w:color="auto" w:fill="4A93D1"/>
            <w:vAlign w:val="center"/>
          </w:tcPr>
          <w:p w14:paraId="25740BC8" w14:textId="77777777" w:rsidR="00941274" w:rsidRPr="006E61B6" w:rsidRDefault="00941274" w:rsidP="001A0729">
            <w:pPr>
              <w:pStyle w:val="Table"/>
              <w:rPr>
                <w:b/>
                <w:bCs/>
                <w:color w:val="FFFFFF" w:themeColor="background1"/>
                <w:sz w:val="20"/>
                <w:szCs w:val="20"/>
              </w:rPr>
            </w:pPr>
            <w:r w:rsidRPr="006E61B6">
              <w:rPr>
                <w:b/>
                <w:bCs/>
                <w:color w:val="FFFFFF" w:themeColor="background1"/>
                <w:sz w:val="20"/>
                <w:szCs w:val="20"/>
              </w:rPr>
              <w:t>Item</w:t>
            </w:r>
          </w:p>
        </w:tc>
        <w:tc>
          <w:tcPr>
            <w:tcW w:w="5557" w:type="dxa"/>
            <w:shd w:val="clear" w:color="auto" w:fill="4A93D1"/>
            <w:vAlign w:val="center"/>
          </w:tcPr>
          <w:p w14:paraId="6FF4BBD7" w14:textId="77777777" w:rsidR="00941274" w:rsidRPr="006E61B6" w:rsidRDefault="00941274" w:rsidP="001A0729">
            <w:pPr>
              <w:pStyle w:val="Table"/>
              <w:rPr>
                <w:b/>
                <w:bCs/>
                <w:color w:val="FFFFFF" w:themeColor="background1"/>
                <w:sz w:val="20"/>
                <w:szCs w:val="20"/>
              </w:rPr>
            </w:pPr>
            <w:r w:rsidRPr="006E61B6">
              <w:rPr>
                <w:b/>
                <w:bCs/>
                <w:color w:val="FFFFFF" w:themeColor="background1"/>
                <w:sz w:val="20"/>
                <w:szCs w:val="20"/>
              </w:rPr>
              <w:t>Description</w:t>
            </w:r>
          </w:p>
        </w:tc>
      </w:tr>
      <w:tr w:rsidR="00941274" w:rsidRPr="006E61B6" w14:paraId="0ADE2ACC" w14:textId="77777777" w:rsidTr="006C4F60">
        <w:trPr>
          <w:trHeight w:val="445"/>
        </w:trPr>
        <w:tc>
          <w:tcPr>
            <w:tcW w:w="3150" w:type="dxa"/>
          </w:tcPr>
          <w:p w14:paraId="46FB4243" w14:textId="77777777" w:rsidR="00941274" w:rsidRPr="00941274" w:rsidRDefault="00941274" w:rsidP="00941274">
            <w:pPr>
              <w:pStyle w:val="Table"/>
              <w:jc w:val="left"/>
              <w:rPr>
                <w:sz w:val="20"/>
                <w:szCs w:val="20"/>
              </w:rPr>
            </w:pPr>
            <w:r w:rsidRPr="00941274">
              <w:rPr>
                <w:sz w:val="20"/>
                <w:szCs w:val="20"/>
              </w:rPr>
              <w:t>Signal</w:t>
            </w:r>
          </w:p>
          <w:p w14:paraId="3029E05A" w14:textId="77777777" w:rsidR="00941274" w:rsidRPr="00941274" w:rsidRDefault="00941274" w:rsidP="00941274">
            <w:pPr>
              <w:pStyle w:val="Table"/>
              <w:jc w:val="left"/>
              <w:rPr>
                <w:sz w:val="20"/>
                <w:szCs w:val="20"/>
              </w:rPr>
            </w:pPr>
            <w:r w:rsidRPr="00941274">
              <w:rPr>
                <w:sz w:val="20"/>
                <w:szCs w:val="20"/>
              </w:rPr>
              <w:t xml:space="preserve">Physical </w:t>
            </w:r>
            <w:proofErr w:type="gramStart"/>
            <w:r w:rsidRPr="00941274">
              <w:rPr>
                <w:sz w:val="20"/>
                <w:szCs w:val="20"/>
              </w:rPr>
              <w:t>connectors</w:t>
            </w:r>
            <w:proofErr w:type="gramEnd"/>
          </w:p>
          <w:p w14:paraId="5190B8A2" w14:textId="77777777" w:rsidR="00941274" w:rsidRPr="00941274" w:rsidRDefault="00941274" w:rsidP="00941274">
            <w:pPr>
              <w:pStyle w:val="Table"/>
              <w:jc w:val="left"/>
              <w:rPr>
                <w:sz w:val="20"/>
                <w:szCs w:val="20"/>
              </w:rPr>
            </w:pPr>
            <w:r w:rsidRPr="00941274">
              <w:rPr>
                <w:sz w:val="20"/>
                <w:szCs w:val="20"/>
              </w:rPr>
              <w:t>Signal bit rate (kbit/s)</w:t>
            </w:r>
          </w:p>
          <w:p w14:paraId="3807F3D2" w14:textId="77777777" w:rsidR="00941274" w:rsidRPr="00941274" w:rsidRDefault="00941274" w:rsidP="00941274">
            <w:pPr>
              <w:pStyle w:val="Table"/>
              <w:jc w:val="left"/>
              <w:rPr>
                <w:sz w:val="20"/>
                <w:szCs w:val="20"/>
              </w:rPr>
            </w:pPr>
            <w:r w:rsidRPr="00941274">
              <w:rPr>
                <w:sz w:val="20"/>
                <w:szCs w:val="20"/>
              </w:rPr>
              <w:t>Maximal input jitter</w:t>
            </w:r>
          </w:p>
          <w:p w14:paraId="24219861" w14:textId="77777777" w:rsidR="00941274" w:rsidRPr="006E61B6" w:rsidRDefault="00941274" w:rsidP="00941274">
            <w:pPr>
              <w:pStyle w:val="Table"/>
              <w:jc w:val="left"/>
              <w:rPr>
                <w:sz w:val="20"/>
                <w:szCs w:val="20"/>
              </w:rPr>
            </w:pPr>
            <w:r>
              <w:rPr>
                <w:sz w:val="20"/>
                <w:szCs w:val="20"/>
              </w:rPr>
              <w:t>Maximal output jitter</w:t>
            </w:r>
          </w:p>
        </w:tc>
        <w:tc>
          <w:tcPr>
            <w:tcW w:w="5557" w:type="dxa"/>
          </w:tcPr>
          <w:p w14:paraId="37DF99F4" w14:textId="77777777" w:rsidR="00941274" w:rsidRPr="00941274" w:rsidRDefault="00941274" w:rsidP="00941274">
            <w:pPr>
              <w:pStyle w:val="Table"/>
              <w:jc w:val="left"/>
              <w:rPr>
                <w:sz w:val="20"/>
                <w:szCs w:val="20"/>
              </w:rPr>
            </w:pPr>
            <w:r w:rsidRPr="00941274">
              <w:rPr>
                <w:sz w:val="20"/>
                <w:szCs w:val="20"/>
              </w:rPr>
              <w:t xml:space="preserve">S-1.1, 1310 nm according to ITU-T G.957 </w:t>
            </w:r>
          </w:p>
          <w:p w14:paraId="182201E1" w14:textId="77777777" w:rsidR="00941274" w:rsidRPr="00941274" w:rsidRDefault="00941274" w:rsidP="00941274">
            <w:pPr>
              <w:pStyle w:val="Table"/>
              <w:jc w:val="left"/>
              <w:rPr>
                <w:sz w:val="20"/>
                <w:szCs w:val="20"/>
              </w:rPr>
            </w:pPr>
            <w:r w:rsidRPr="00941274">
              <w:rPr>
                <w:sz w:val="20"/>
                <w:szCs w:val="20"/>
              </w:rPr>
              <w:t xml:space="preserve">SC//FC/PC  </w:t>
            </w:r>
          </w:p>
          <w:p w14:paraId="6BAEDF37" w14:textId="77777777" w:rsidR="00941274" w:rsidRPr="00941274" w:rsidRDefault="00941274" w:rsidP="00941274">
            <w:pPr>
              <w:pStyle w:val="Table"/>
              <w:jc w:val="left"/>
              <w:rPr>
                <w:sz w:val="20"/>
                <w:szCs w:val="20"/>
              </w:rPr>
            </w:pPr>
            <w:r w:rsidRPr="00941274">
              <w:rPr>
                <w:sz w:val="20"/>
                <w:szCs w:val="20"/>
              </w:rPr>
              <w:t xml:space="preserve">155 520 </w:t>
            </w:r>
          </w:p>
          <w:p w14:paraId="2EB62FF3" w14:textId="7C3CD315" w:rsidR="00941274" w:rsidRPr="00941274" w:rsidRDefault="00941274" w:rsidP="00796DA8">
            <w:pPr>
              <w:pStyle w:val="Table"/>
              <w:jc w:val="left"/>
              <w:rPr>
                <w:sz w:val="20"/>
                <w:szCs w:val="20"/>
              </w:rPr>
            </w:pPr>
            <w:r w:rsidRPr="00941274">
              <w:rPr>
                <w:sz w:val="20"/>
                <w:szCs w:val="20"/>
              </w:rPr>
              <w:t xml:space="preserve">EN 302 084 table 12     </w:t>
            </w:r>
          </w:p>
          <w:p w14:paraId="1E5A5791" w14:textId="77777777" w:rsidR="00941274" w:rsidRPr="006E61B6" w:rsidRDefault="00941274" w:rsidP="00941274">
            <w:pPr>
              <w:pStyle w:val="Table"/>
              <w:jc w:val="left"/>
              <w:rPr>
                <w:sz w:val="20"/>
                <w:szCs w:val="20"/>
              </w:rPr>
            </w:pPr>
            <w:r w:rsidRPr="00941274">
              <w:rPr>
                <w:sz w:val="20"/>
                <w:szCs w:val="20"/>
              </w:rPr>
              <w:t xml:space="preserve">EN 302 084 table 1      </w:t>
            </w:r>
          </w:p>
        </w:tc>
      </w:tr>
    </w:tbl>
    <w:p w14:paraId="081C94C7" w14:textId="77777777" w:rsidR="00941274" w:rsidRDefault="00941274" w:rsidP="00941274">
      <w:pPr>
        <w:pStyle w:val="ListParagraph"/>
        <w:numPr>
          <w:ilvl w:val="0"/>
          <w:numId w:val="0"/>
        </w:numPr>
        <w:ind w:left="864"/>
      </w:pPr>
    </w:p>
    <w:tbl>
      <w:tblPr>
        <w:tblStyle w:val="TableGridLight1"/>
        <w:tblW w:w="8707" w:type="dxa"/>
        <w:tblInd w:w="1008" w:type="dxa"/>
        <w:tblLayout w:type="fixed"/>
        <w:tblLook w:val="04A0" w:firstRow="1" w:lastRow="0" w:firstColumn="1" w:lastColumn="0" w:noHBand="0" w:noVBand="1"/>
      </w:tblPr>
      <w:tblGrid>
        <w:gridCol w:w="3150"/>
        <w:gridCol w:w="5557"/>
      </w:tblGrid>
      <w:tr w:rsidR="00BC1812" w:rsidRPr="00C55A42" w14:paraId="55C23537" w14:textId="77777777" w:rsidTr="001A0729">
        <w:trPr>
          <w:trHeight w:val="418"/>
        </w:trPr>
        <w:tc>
          <w:tcPr>
            <w:tcW w:w="3150" w:type="dxa"/>
            <w:shd w:val="clear" w:color="auto" w:fill="4A93D1"/>
            <w:vAlign w:val="center"/>
          </w:tcPr>
          <w:p w14:paraId="4B844067" w14:textId="77777777" w:rsidR="00BC1812" w:rsidRPr="006E61B6" w:rsidRDefault="00BC1812" w:rsidP="001A0729">
            <w:pPr>
              <w:pStyle w:val="Table"/>
              <w:rPr>
                <w:b/>
                <w:bCs/>
                <w:color w:val="FFFFFF" w:themeColor="background1"/>
                <w:sz w:val="20"/>
                <w:szCs w:val="20"/>
              </w:rPr>
            </w:pPr>
            <w:r w:rsidRPr="006E61B6">
              <w:rPr>
                <w:b/>
                <w:bCs/>
                <w:color w:val="FFFFFF" w:themeColor="background1"/>
                <w:sz w:val="20"/>
                <w:szCs w:val="20"/>
              </w:rPr>
              <w:t>Item</w:t>
            </w:r>
          </w:p>
        </w:tc>
        <w:tc>
          <w:tcPr>
            <w:tcW w:w="5557" w:type="dxa"/>
            <w:shd w:val="clear" w:color="auto" w:fill="4A93D1"/>
            <w:vAlign w:val="center"/>
          </w:tcPr>
          <w:p w14:paraId="2BA78C68" w14:textId="77777777" w:rsidR="00BC1812" w:rsidRPr="006E61B6" w:rsidRDefault="00BC1812" w:rsidP="001A0729">
            <w:pPr>
              <w:pStyle w:val="Table"/>
              <w:rPr>
                <w:b/>
                <w:bCs/>
                <w:color w:val="FFFFFF" w:themeColor="background1"/>
                <w:sz w:val="20"/>
                <w:szCs w:val="20"/>
              </w:rPr>
            </w:pPr>
            <w:r w:rsidRPr="006E61B6">
              <w:rPr>
                <w:b/>
                <w:bCs/>
                <w:color w:val="FFFFFF" w:themeColor="background1"/>
                <w:sz w:val="20"/>
                <w:szCs w:val="20"/>
              </w:rPr>
              <w:t>Description</w:t>
            </w:r>
          </w:p>
        </w:tc>
      </w:tr>
      <w:tr w:rsidR="00BC1812" w:rsidRPr="00D039CD" w14:paraId="3BF84114" w14:textId="77777777" w:rsidTr="00BC1812">
        <w:trPr>
          <w:trHeight w:val="445"/>
        </w:trPr>
        <w:tc>
          <w:tcPr>
            <w:tcW w:w="3150" w:type="dxa"/>
            <w:vAlign w:val="center"/>
          </w:tcPr>
          <w:p w14:paraId="16806B1B" w14:textId="77777777" w:rsidR="00BC1812" w:rsidRPr="006E61B6" w:rsidRDefault="00BC1812" w:rsidP="00BC1812">
            <w:pPr>
              <w:pStyle w:val="Table"/>
              <w:jc w:val="left"/>
              <w:rPr>
                <w:sz w:val="20"/>
                <w:szCs w:val="20"/>
              </w:rPr>
            </w:pPr>
            <w:r w:rsidRPr="00BC1812">
              <w:rPr>
                <w:sz w:val="20"/>
                <w:szCs w:val="20"/>
              </w:rPr>
              <w:t>Bit rate</w:t>
            </w:r>
          </w:p>
        </w:tc>
        <w:tc>
          <w:tcPr>
            <w:tcW w:w="5557" w:type="dxa"/>
            <w:vAlign w:val="center"/>
          </w:tcPr>
          <w:p w14:paraId="5799A267" w14:textId="77777777" w:rsidR="00BC1812" w:rsidRPr="006E61B6" w:rsidRDefault="00BC1812" w:rsidP="00BC1812">
            <w:pPr>
              <w:pStyle w:val="Table"/>
              <w:jc w:val="left"/>
              <w:rPr>
                <w:sz w:val="20"/>
                <w:szCs w:val="20"/>
              </w:rPr>
            </w:pPr>
            <w:r w:rsidRPr="00BC1812">
              <w:rPr>
                <w:sz w:val="20"/>
                <w:szCs w:val="20"/>
              </w:rPr>
              <w:t>155.52 Mb/s</w:t>
            </w:r>
          </w:p>
        </w:tc>
      </w:tr>
      <w:tr w:rsidR="00BC1812" w:rsidRPr="00D039CD" w14:paraId="259C2C98" w14:textId="77777777" w:rsidTr="00BC1812">
        <w:trPr>
          <w:trHeight w:val="436"/>
        </w:trPr>
        <w:tc>
          <w:tcPr>
            <w:tcW w:w="3150" w:type="dxa"/>
            <w:vAlign w:val="center"/>
          </w:tcPr>
          <w:p w14:paraId="3DE5792D" w14:textId="77777777" w:rsidR="00BC1812" w:rsidRPr="006E61B6" w:rsidRDefault="00BC1812" w:rsidP="00BC1812">
            <w:pPr>
              <w:pStyle w:val="Table"/>
              <w:jc w:val="left"/>
              <w:rPr>
                <w:sz w:val="20"/>
                <w:szCs w:val="20"/>
              </w:rPr>
            </w:pPr>
            <w:r w:rsidRPr="00BC1812">
              <w:rPr>
                <w:sz w:val="20"/>
                <w:szCs w:val="20"/>
              </w:rPr>
              <w:t>Line code</w:t>
            </w:r>
          </w:p>
        </w:tc>
        <w:tc>
          <w:tcPr>
            <w:tcW w:w="5557" w:type="dxa"/>
            <w:vAlign w:val="center"/>
          </w:tcPr>
          <w:p w14:paraId="2766962E" w14:textId="77777777" w:rsidR="00BC1812" w:rsidRPr="006E61B6" w:rsidRDefault="00BC1812" w:rsidP="00BC1812">
            <w:pPr>
              <w:pStyle w:val="Table"/>
              <w:jc w:val="left"/>
              <w:rPr>
                <w:sz w:val="20"/>
                <w:szCs w:val="20"/>
              </w:rPr>
            </w:pPr>
            <w:r w:rsidRPr="00BC1812">
              <w:rPr>
                <w:sz w:val="20"/>
                <w:szCs w:val="20"/>
              </w:rPr>
              <w:t>Code Mark Inversion (CMI)</w:t>
            </w:r>
          </w:p>
        </w:tc>
      </w:tr>
      <w:tr w:rsidR="00BC1812" w:rsidRPr="00D039CD" w14:paraId="6740D72A" w14:textId="77777777" w:rsidTr="00BC1812">
        <w:trPr>
          <w:trHeight w:val="445"/>
        </w:trPr>
        <w:tc>
          <w:tcPr>
            <w:tcW w:w="3150" w:type="dxa"/>
            <w:vAlign w:val="center"/>
          </w:tcPr>
          <w:p w14:paraId="73677A70" w14:textId="77777777" w:rsidR="00BC1812" w:rsidRPr="006E61B6" w:rsidRDefault="00BC1812" w:rsidP="00BC1812">
            <w:pPr>
              <w:pStyle w:val="Table"/>
              <w:jc w:val="left"/>
              <w:rPr>
                <w:sz w:val="20"/>
                <w:szCs w:val="20"/>
              </w:rPr>
            </w:pPr>
            <w:r w:rsidRPr="00BC1812">
              <w:rPr>
                <w:sz w:val="20"/>
                <w:szCs w:val="20"/>
              </w:rPr>
              <w:t>Pointer Adjustment</w:t>
            </w:r>
          </w:p>
        </w:tc>
        <w:tc>
          <w:tcPr>
            <w:tcW w:w="5557" w:type="dxa"/>
            <w:vAlign w:val="center"/>
          </w:tcPr>
          <w:p w14:paraId="63D115DE" w14:textId="77777777" w:rsidR="00BC1812" w:rsidRPr="006E61B6" w:rsidRDefault="00BC1812" w:rsidP="00BC1812">
            <w:pPr>
              <w:pStyle w:val="Table"/>
              <w:jc w:val="left"/>
              <w:rPr>
                <w:sz w:val="20"/>
                <w:szCs w:val="20"/>
              </w:rPr>
            </w:pPr>
            <w:r w:rsidRPr="00BC1812">
              <w:rPr>
                <w:sz w:val="20"/>
                <w:szCs w:val="20"/>
              </w:rPr>
              <w:t>Based in G.828 ITU standard</w:t>
            </w:r>
          </w:p>
        </w:tc>
      </w:tr>
      <w:tr w:rsidR="00BC1812" w:rsidRPr="00D039CD" w14:paraId="3244A11E" w14:textId="77777777" w:rsidTr="00BC1812">
        <w:trPr>
          <w:trHeight w:val="436"/>
        </w:trPr>
        <w:tc>
          <w:tcPr>
            <w:tcW w:w="3150" w:type="dxa"/>
            <w:vAlign w:val="center"/>
          </w:tcPr>
          <w:p w14:paraId="3D8B4737" w14:textId="77777777" w:rsidR="00BC1812" w:rsidRPr="006E61B6" w:rsidRDefault="00BC1812" w:rsidP="00BC1812">
            <w:pPr>
              <w:pStyle w:val="Table"/>
              <w:jc w:val="left"/>
              <w:rPr>
                <w:sz w:val="20"/>
                <w:szCs w:val="20"/>
              </w:rPr>
            </w:pPr>
            <w:r w:rsidRPr="00BC1812">
              <w:rPr>
                <w:sz w:val="20"/>
                <w:szCs w:val="20"/>
              </w:rPr>
              <w:t>Mask of the pulse</w:t>
            </w:r>
          </w:p>
        </w:tc>
        <w:tc>
          <w:tcPr>
            <w:tcW w:w="5557" w:type="dxa"/>
            <w:vAlign w:val="center"/>
          </w:tcPr>
          <w:p w14:paraId="2337E478" w14:textId="77777777" w:rsidR="00BC1812" w:rsidRPr="006E61B6" w:rsidRDefault="00BC1812" w:rsidP="00BC1812">
            <w:pPr>
              <w:pStyle w:val="Table"/>
              <w:jc w:val="left"/>
              <w:rPr>
                <w:sz w:val="20"/>
                <w:szCs w:val="20"/>
              </w:rPr>
            </w:pPr>
            <w:r w:rsidRPr="00BC1812">
              <w:rPr>
                <w:sz w:val="20"/>
                <w:szCs w:val="20"/>
              </w:rPr>
              <w:t>STM-1</w:t>
            </w:r>
          </w:p>
        </w:tc>
      </w:tr>
      <w:tr w:rsidR="00BC1812" w:rsidRPr="00D039CD" w14:paraId="62497C42" w14:textId="77777777" w:rsidTr="00BC1812">
        <w:trPr>
          <w:trHeight w:val="436"/>
        </w:trPr>
        <w:tc>
          <w:tcPr>
            <w:tcW w:w="3150" w:type="dxa"/>
            <w:vAlign w:val="center"/>
          </w:tcPr>
          <w:p w14:paraId="0DE5C75B" w14:textId="77777777" w:rsidR="00BC1812" w:rsidRPr="006E61B6" w:rsidRDefault="00BC1812" w:rsidP="00BC1812">
            <w:pPr>
              <w:pStyle w:val="Table"/>
              <w:jc w:val="left"/>
              <w:rPr>
                <w:sz w:val="20"/>
                <w:szCs w:val="20"/>
              </w:rPr>
            </w:pPr>
            <w:r w:rsidRPr="00BC1812">
              <w:rPr>
                <w:sz w:val="20"/>
                <w:szCs w:val="20"/>
              </w:rPr>
              <w:t>Maximum peak to peak jitter</w:t>
            </w:r>
          </w:p>
        </w:tc>
        <w:tc>
          <w:tcPr>
            <w:tcW w:w="5557" w:type="dxa"/>
            <w:vAlign w:val="center"/>
          </w:tcPr>
          <w:p w14:paraId="431D9E2A" w14:textId="77777777" w:rsidR="00BC1812" w:rsidRPr="006E61B6" w:rsidRDefault="00BC1812" w:rsidP="00BC1812">
            <w:pPr>
              <w:pStyle w:val="Table"/>
              <w:jc w:val="left"/>
              <w:rPr>
                <w:sz w:val="20"/>
                <w:szCs w:val="20"/>
              </w:rPr>
            </w:pPr>
            <w:r w:rsidRPr="00BC1812">
              <w:rPr>
                <w:sz w:val="20"/>
                <w:szCs w:val="20"/>
              </w:rPr>
              <w:t>1.5UI p-</w:t>
            </w:r>
            <w:proofErr w:type="gramStart"/>
            <w:r w:rsidRPr="00BC1812">
              <w:rPr>
                <w:sz w:val="20"/>
                <w:szCs w:val="20"/>
              </w:rPr>
              <w:t>p  (</w:t>
            </w:r>
            <w:proofErr w:type="gramEnd"/>
            <w:r w:rsidRPr="00BC1812">
              <w:rPr>
                <w:sz w:val="20"/>
                <w:szCs w:val="20"/>
              </w:rPr>
              <w:t>UI=6.43ns)</w:t>
            </w:r>
          </w:p>
        </w:tc>
      </w:tr>
    </w:tbl>
    <w:p w14:paraId="3830E95C" w14:textId="77777777" w:rsidR="004B22B0" w:rsidRDefault="004B22B0" w:rsidP="00F42B20">
      <w:pPr>
        <w:pStyle w:val="ListParagraph"/>
      </w:pPr>
      <w:r>
        <w:t>Specifications at the Output E1 traffic ports (G703 compliant)</w:t>
      </w:r>
    </w:p>
    <w:tbl>
      <w:tblPr>
        <w:tblStyle w:val="TableGridLight1"/>
        <w:tblW w:w="8707" w:type="dxa"/>
        <w:tblInd w:w="1008" w:type="dxa"/>
        <w:tblLayout w:type="fixed"/>
        <w:tblLook w:val="04A0" w:firstRow="1" w:lastRow="0" w:firstColumn="1" w:lastColumn="0" w:noHBand="0" w:noVBand="1"/>
      </w:tblPr>
      <w:tblGrid>
        <w:gridCol w:w="3150"/>
        <w:gridCol w:w="5557"/>
      </w:tblGrid>
      <w:tr w:rsidR="004B22B0" w:rsidRPr="00C55A42" w14:paraId="1C8F5A0D" w14:textId="77777777" w:rsidTr="006E61B6">
        <w:trPr>
          <w:trHeight w:val="418"/>
        </w:trPr>
        <w:tc>
          <w:tcPr>
            <w:tcW w:w="3150" w:type="dxa"/>
            <w:shd w:val="clear" w:color="auto" w:fill="4A93D1"/>
            <w:vAlign w:val="center"/>
          </w:tcPr>
          <w:p w14:paraId="47755227" w14:textId="77777777" w:rsidR="004B22B0" w:rsidRPr="006E61B6" w:rsidRDefault="006E61B6" w:rsidP="001A0729">
            <w:pPr>
              <w:pStyle w:val="Table"/>
              <w:rPr>
                <w:b/>
                <w:bCs/>
                <w:color w:val="FFFFFF" w:themeColor="background1"/>
                <w:sz w:val="20"/>
                <w:szCs w:val="20"/>
              </w:rPr>
            </w:pPr>
            <w:r w:rsidRPr="006E61B6">
              <w:rPr>
                <w:b/>
                <w:bCs/>
                <w:color w:val="FFFFFF" w:themeColor="background1"/>
                <w:sz w:val="20"/>
                <w:szCs w:val="20"/>
              </w:rPr>
              <w:t>Item</w:t>
            </w:r>
          </w:p>
        </w:tc>
        <w:tc>
          <w:tcPr>
            <w:tcW w:w="5557" w:type="dxa"/>
            <w:shd w:val="clear" w:color="auto" w:fill="4A93D1"/>
            <w:vAlign w:val="center"/>
          </w:tcPr>
          <w:p w14:paraId="7ADD72F0" w14:textId="77777777" w:rsidR="004B22B0" w:rsidRPr="006E61B6" w:rsidRDefault="006E61B6" w:rsidP="001A0729">
            <w:pPr>
              <w:pStyle w:val="Table"/>
              <w:rPr>
                <w:b/>
                <w:bCs/>
                <w:color w:val="FFFFFF" w:themeColor="background1"/>
                <w:sz w:val="20"/>
                <w:szCs w:val="20"/>
              </w:rPr>
            </w:pPr>
            <w:r w:rsidRPr="006E61B6">
              <w:rPr>
                <w:b/>
                <w:bCs/>
                <w:color w:val="FFFFFF" w:themeColor="background1"/>
                <w:sz w:val="20"/>
                <w:szCs w:val="20"/>
              </w:rPr>
              <w:t>Description</w:t>
            </w:r>
          </w:p>
        </w:tc>
      </w:tr>
      <w:tr w:rsidR="004B22B0" w:rsidRPr="00D039CD" w14:paraId="098BF894" w14:textId="77777777" w:rsidTr="006E61B6">
        <w:trPr>
          <w:trHeight w:val="445"/>
        </w:trPr>
        <w:tc>
          <w:tcPr>
            <w:tcW w:w="3150" w:type="dxa"/>
            <w:vAlign w:val="center"/>
          </w:tcPr>
          <w:p w14:paraId="427E57C0" w14:textId="77777777" w:rsidR="004B22B0" w:rsidRPr="006E61B6" w:rsidRDefault="004B22B0" w:rsidP="004B22B0">
            <w:pPr>
              <w:pStyle w:val="Table"/>
              <w:jc w:val="left"/>
              <w:rPr>
                <w:sz w:val="20"/>
                <w:szCs w:val="20"/>
              </w:rPr>
            </w:pPr>
            <w:r w:rsidRPr="006E61B6">
              <w:rPr>
                <w:sz w:val="20"/>
                <w:szCs w:val="20"/>
              </w:rPr>
              <w:t>Bit rate</w:t>
            </w:r>
          </w:p>
        </w:tc>
        <w:tc>
          <w:tcPr>
            <w:tcW w:w="5557" w:type="dxa"/>
            <w:vAlign w:val="center"/>
          </w:tcPr>
          <w:p w14:paraId="03F92EFB" w14:textId="77777777" w:rsidR="004B22B0" w:rsidRPr="006E61B6" w:rsidRDefault="00904F5E" w:rsidP="004B22B0">
            <w:pPr>
              <w:pStyle w:val="Table"/>
              <w:jc w:val="left"/>
              <w:rPr>
                <w:sz w:val="20"/>
                <w:szCs w:val="20"/>
              </w:rPr>
            </w:pPr>
            <w:r>
              <w:rPr>
                <w:sz w:val="20"/>
                <w:szCs w:val="20"/>
              </w:rPr>
              <w:t>2048</w:t>
            </w:r>
            <w:r w:rsidR="004B22B0" w:rsidRPr="006E61B6">
              <w:rPr>
                <w:sz w:val="20"/>
                <w:szCs w:val="20"/>
              </w:rPr>
              <w:t xml:space="preserve"> kbps +/- 50 ppm ITU-T G.703</w:t>
            </w:r>
          </w:p>
        </w:tc>
      </w:tr>
      <w:tr w:rsidR="004B22B0" w:rsidRPr="00D039CD" w14:paraId="685D7EC7" w14:textId="77777777" w:rsidTr="006E61B6">
        <w:trPr>
          <w:trHeight w:val="436"/>
        </w:trPr>
        <w:tc>
          <w:tcPr>
            <w:tcW w:w="3150" w:type="dxa"/>
            <w:vAlign w:val="center"/>
          </w:tcPr>
          <w:p w14:paraId="59CBEB61" w14:textId="77777777" w:rsidR="004B22B0" w:rsidRPr="006E61B6" w:rsidRDefault="004B22B0" w:rsidP="004B22B0">
            <w:pPr>
              <w:pStyle w:val="Table"/>
              <w:jc w:val="left"/>
              <w:rPr>
                <w:sz w:val="20"/>
                <w:szCs w:val="20"/>
              </w:rPr>
            </w:pPr>
            <w:r w:rsidRPr="006E61B6">
              <w:rPr>
                <w:sz w:val="20"/>
                <w:szCs w:val="20"/>
              </w:rPr>
              <w:t>Line code</w:t>
            </w:r>
          </w:p>
        </w:tc>
        <w:tc>
          <w:tcPr>
            <w:tcW w:w="5557" w:type="dxa"/>
            <w:vAlign w:val="center"/>
          </w:tcPr>
          <w:p w14:paraId="7F11C91E" w14:textId="77777777" w:rsidR="004B22B0" w:rsidRPr="006E61B6" w:rsidRDefault="004B22B0" w:rsidP="004B22B0">
            <w:pPr>
              <w:pStyle w:val="Table"/>
              <w:jc w:val="left"/>
              <w:rPr>
                <w:sz w:val="20"/>
                <w:szCs w:val="20"/>
              </w:rPr>
            </w:pPr>
            <w:r w:rsidRPr="006E61B6">
              <w:rPr>
                <w:sz w:val="20"/>
                <w:szCs w:val="20"/>
              </w:rPr>
              <w:t>HDB3 ITU-T G 703</w:t>
            </w:r>
          </w:p>
        </w:tc>
      </w:tr>
      <w:tr w:rsidR="004B22B0" w:rsidRPr="00D039CD" w14:paraId="1E78E1B7" w14:textId="77777777" w:rsidTr="006E61B6">
        <w:trPr>
          <w:trHeight w:val="445"/>
        </w:trPr>
        <w:tc>
          <w:tcPr>
            <w:tcW w:w="3150" w:type="dxa"/>
            <w:vAlign w:val="center"/>
          </w:tcPr>
          <w:p w14:paraId="65D5944C" w14:textId="77777777" w:rsidR="004B22B0" w:rsidRPr="006E61B6" w:rsidRDefault="004B22B0" w:rsidP="004B22B0">
            <w:pPr>
              <w:pStyle w:val="Table"/>
              <w:jc w:val="left"/>
              <w:rPr>
                <w:sz w:val="20"/>
                <w:szCs w:val="20"/>
              </w:rPr>
            </w:pPr>
            <w:r w:rsidRPr="006E61B6">
              <w:rPr>
                <w:sz w:val="20"/>
                <w:szCs w:val="20"/>
              </w:rPr>
              <w:t>Over voltage protection</w:t>
            </w:r>
          </w:p>
        </w:tc>
        <w:tc>
          <w:tcPr>
            <w:tcW w:w="5557" w:type="dxa"/>
            <w:vAlign w:val="center"/>
          </w:tcPr>
          <w:p w14:paraId="4DA7190D" w14:textId="77777777" w:rsidR="004B22B0" w:rsidRPr="006E61B6" w:rsidRDefault="004B22B0" w:rsidP="004B22B0">
            <w:pPr>
              <w:pStyle w:val="Table"/>
              <w:jc w:val="left"/>
              <w:rPr>
                <w:sz w:val="20"/>
                <w:szCs w:val="20"/>
              </w:rPr>
            </w:pPr>
            <w:r w:rsidRPr="006E61B6">
              <w:rPr>
                <w:sz w:val="20"/>
                <w:szCs w:val="20"/>
              </w:rPr>
              <w:t>refer to ITU-T K41</w:t>
            </w:r>
          </w:p>
        </w:tc>
      </w:tr>
      <w:tr w:rsidR="004B22B0" w:rsidRPr="00D039CD" w14:paraId="0F0AC3D2" w14:textId="77777777" w:rsidTr="006E61B6">
        <w:trPr>
          <w:trHeight w:val="436"/>
        </w:trPr>
        <w:tc>
          <w:tcPr>
            <w:tcW w:w="3150" w:type="dxa"/>
            <w:vAlign w:val="center"/>
          </w:tcPr>
          <w:p w14:paraId="1E77E2BA" w14:textId="77777777" w:rsidR="004B22B0" w:rsidRPr="006E61B6" w:rsidRDefault="004B22B0" w:rsidP="004B22B0">
            <w:pPr>
              <w:pStyle w:val="Table"/>
              <w:jc w:val="left"/>
              <w:rPr>
                <w:sz w:val="20"/>
                <w:szCs w:val="20"/>
              </w:rPr>
            </w:pPr>
            <w:r w:rsidRPr="006E61B6">
              <w:rPr>
                <w:sz w:val="20"/>
                <w:szCs w:val="20"/>
              </w:rPr>
              <w:t>Load Impedance</w:t>
            </w:r>
          </w:p>
        </w:tc>
        <w:tc>
          <w:tcPr>
            <w:tcW w:w="5557" w:type="dxa"/>
            <w:vAlign w:val="center"/>
          </w:tcPr>
          <w:p w14:paraId="7841CAB7" w14:textId="77777777" w:rsidR="004B22B0" w:rsidRPr="006E61B6" w:rsidRDefault="004B22B0" w:rsidP="004B22B0">
            <w:pPr>
              <w:pStyle w:val="Table"/>
              <w:jc w:val="left"/>
              <w:rPr>
                <w:sz w:val="20"/>
                <w:szCs w:val="20"/>
              </w:rPr>
            </w:pPr>
            <w:r w:rsidRPr="006E61B6">
              <w:rPr>
                <w:sz w:val="20"/>
                <w:szCs w:val="20"/>
              </w:rPr>
              <w:t>75 ohms resistive ITU-T G.703</w:t>
            </w:r>
          </w:p>
        </w:tc>
      </w:tr>
      <w:tr w:rsidR="004B22B0" w:rsidRPr="00D039CD" w14:paraId="1F6C6367" w14:textId="77777777" w:rsidTr="006E61B6">
        <w:trPr>
          <w:trHeight w:val="436"/>
        </w:trPr>
        <w:tc>
          <w:tcPr>
            <w:tcW w:w="3150" w:type="dxa"/>
            <w:vAlign w:val="center"/>
          </w:tcPr>
          <w:p w14:paraId="2B071426" w14:textId="77777777" w:rsidR="004B22B0" w:rsidRPr="006E61B6" w:rsidRDefault="004B22B0" w:rsidP="004B22B0">
            <w:pPr>
              <w:pStyle w:val="Table"/>
              <w:jc w:val="left"/>
              <w:rPr>
                <w:sz w:val="20"/>
                <w:szCs w:val="20"/>
              </w:rPr>
            </w:pPr>
            <w:r w:rsidRPr="006E61B6">
              <w:rPr>
                <w:sz w:val="20"/>
                <w:szCs w:val="20"/>
              </w:rPr>
              <w:t>Mask of the pulse</w:t>
            </w:r>
          </w:p>
        </w:tc>
        <w:tc>
          <w:tcPr>
            <w:tcW w:w="5557" w:type="dxa"/>
            <w:vAlign w:val="center"/>
          </w:tcPr>
          <w:p w14:paraId="499CCCDF" w14:textId="77777777" w:rsidR="004B22B0" w:rsidRPr="006E61B6" w:rsidRDefault="004B22B0" w:rsidP="004B22B0">
            <w:pPr>
              <w:pStyle w:val="Table"/>
              <w:jc w:val="left"/>
              <w:rPr>
                <w:sz w:val="20"/>
                <w:szCs w:val="20"/>
              </w:rPr>
            </w:pPr>
            <w:r w:rsidRPr="006E61B6">
              <w:rPr>
                <w:sz w:val="20"/>
                <w:szCs w:val="20"/>
              </w:rPr>
              <w:t>ITU-T G.703</w:t>
            </w:r>
          </w:p>
        </w:tc>
      </w:tr>
      <w:tr w:rsidR="004B22B0" w:rsidRPr="00D039CD" w14:paraId="1AC616C1" w14:textId="77777777" w:rsidTr="006E61B6">
        <w:trPr>
          <w:trHeight w:val="445"/>
        </w:trPr>
        <w:tc>
          <w:tcPr>
            <w:tcW w:w="3150" w:type="dxa"/>
            <w:vAlign w:val="center"/>
          </w:tcPr>
          <w:p w14:paraId="1C2E1879" w14:textId="77777777" w:rsidR="004B22B0" w:rsidRPr="006E61B6" w:rsidRDefault="004B22B0" w:rsidP="004B22B0">
            <w:pPr>
              <w:pStyle w:val="Table"/>
              <w:jc w:val="left"/>
              <w:rPr>
                <w:sz w:val="20"/>
                <w:szCs w:val="20"/>
              </w:rPr>
            </w:pPr>
            <w:r w:rsidRPr="006E61B6">
              <w:rPr>
                <w:sz w:val="20"/>
                <w:szCs w:val="20"/>
              </w:rPr>
              <w:t>Maximum peak to peak jitter</w:t>
            </w:r>
          </w:p>
        </w:tc>
        <w:tc>
          <w:tcPr>
            <w:tcW w:w="5557" w:type="dxa"/>
            <w:vAlign w:val="center"/>
          </w:tcPr>
          <w:p w14:paraId="2F6D9A52" w14:textId="77777777" w:rsidR="004B22B0" w:rsidRPr="006E61B6" w:rsidRDefault="004B22B0" w:rsidP="004B22B0">
            <w:pPr>
              <w:pStyle w:val="Table"/>
              <w:jc w:val="left"/>
              <w:rPr>
                <w:sz w:val="20"/>
                <w:szCs w:val="20"/>
              </w:rPr>
            </w:pPr>
            <w:r w:rsidRPr="006E61B6">
              <w:rPr>
                <w:sz w:val="20"/>
                <w:szCs w:val="20"/>
              </w:rPr>
              <w:t>refer to clause 2/ G.823</w:t>
            </w:r>
          </w:p>
        </w:tc>
      </w:tr>
    </w:tbl>
    <w:p w14:paraId="579299A5" w14:textId="77777777" w:rsidR="004B22B0" w:rsidRDefault="004B22B0" w:rsidP="004B22B0">
      <w:pPr>
        <w:pStyle w:val="ListParagraph"/>
      </w:pPr>
      <w:r>
        <w:t>Specifications at the input E1 traffic ports (G.703 compliant)</w:t>
      </w:r>
    </w:p>
    <w:p w14:paraId="2E1D22CA" w14:textId="77777777" w:rsidR="004B22B0" w:rsidRDefault="004B22B0" w:rsidP="006E61B6">
      <w:pPr>
        <w:pStyle w:val="ListParagraph"/>
        <w:numPr>
          <w:ilvl w:val="2"/>
          <w:numId w:val="1"/>
        </w:numPr>
      </w:pPr>
      <w:r>
        <w:lastRenderedPageBreak/>
        <w:t xml:space="preserve">The digital signal presented at the input port shall be as defined above but modified by the characteristic of the interconnecting pair. The attenuation of this pair shall be assumed to </w:t>
      </w:r>
      <w:proofErr w:type="gramStart"/>
      <w:r>
        <w:t>follow a √f</w:t>
      </w:r>
      <w:proofErr w:type="gramEnd"/>
      <w:r>
        <w:t xml:space="preserve"> law and the loss at a frequency of 1024 kHz shall be in the range 0 to 6 </w:t>
      </w:r>
      <w:proofErr w:type="spellStart"/>
      <w:r>
        <w:t>dB.</w:t>
      </w:r>
      <w:proofErr w:type="spellEnd"/>
      <w:r>
        <w:t xml:space="preserve"> This attenuation should </w:t>
      </w:r>
      <w:proofErr w:type="gramStart"/>
      <w:r>
        <w:t>take into account</w:t>
      </w:r>
      <w:proofErr w:type="gramEnd"/>
      <w:r>
        <w:t xml:space="preserve"> any losses incurred by the presence of a digital distribution frame between the equipment. </w:t>
      </w:r>
    </w:p>
    <w:p w14:paraId="2ECC5CAD" w14:textId="77777777" w:rsidR="004B22B0" w:rsidRDefault="004B22B0" w:rsidP="006E61B6">
      <w:pPr>
        <w:pStyle w:val="ListParagraph"/>
        <w:numPr>
          <w:ilvl w:val="2"/>
          <w:numId w:val="1"/>
        </w:numPr>
      </w:pPr>
      <w:r>
        <w:t>For the jitter to be tolerated at the input port, refer to clause 3/G.823. The return loss at the input port should have the following provisional minimum values:</w:t>
      </w:r>
    </w:p>
    <w:tbl>
      <w:tblPr>
        <w:tblStyle w:val="TableGridLight1"/>
        <w:tblW w:w="5130" w:type="dxa"/>
        <w:tblInd w:w="1008" w:type="dxa"/>
        <w:tblLayout w:type="fixed"/>
        <w:tblLook w:val="04A0" w:firstRow="1" w:lastRow="0" w:firstColumn="1" w:lastColumn="0" w:noHBand="0" w:noVBand="1"/>
      </w:tblPr>
      <w:tblGrid>
        <w:gridCol w:w="3150"/>
        <w:gridCol w:w="1980"/>
      </w:tblGrid>
      <w:tr w:rsidR="006E61B6" w:rsidRPr="006E61B6" w14:paraId="2C47C476" w14:textId="77777777" w:rsidTr="006E61B6">
        <w:trPr>
          <w:trHeight w:val="472"/>
        </w:trPr>
        <w:tc>
          <w:tcPr>
            <w:tcW w:w="3150" w:type="dxa"/>
            <w:shd w:val="clear" w:color="auto" w:fill="4A93D1"/>
            <w:vAlign w:val="center"/>
          </w:tcPr>
          <w:p w14:paraId="710C22A6" w14:textId="77777777" w:rsidR="006E61B6" w:rsidRPr="006E61B6" w:rsidRDefault="006E61B6" w:rsidP="001A0729">
            <w:pPr>
              <w:pStyle w:val="Table"/>
              <w:rPr>
                <w:b/>
                <w:bCs/>
                <w:color w:val="FFFFFF" w:themeColor="background1"/>
                <w:sz w:val="20"/>
                <w:szCs w:val="20"/>
              </w:rPr>
            </w:pPr>
            <w:r w:rsidRPr="006E61B6">
              <w:rPr>
                <w:b/>
                <w:bCs/>
                <w:color w:val="FFFFFF" w:themeColor="background1"/>
                <w:sz w:val="20"/>
                <w:szCs w:val="20"/>
              </w:rPr>
              <w:t>Frequency Range</w:t>
            </w:r>
          </w:p>
        </w:tc>
        <w:tc>
          <w:tcPr>
            <w:tcW w:w="1980" w:type="dxa"/>
            <w:shd w:val="clear" w:color="auto" w:fill="4A93D1"/>
            <w:vAlign w:val="center"/>
          </w:tcPr>
          <w:p w14:paraId="799A3748" w14:textId="77777777" w:rsidR="006E61B6" w:rsidRPr="006E61B6" w:rsidRDefault="006E61B6" w:rsidP="001A0729">
            <w:pPr>
              <w:pStyle w:val="Table"/>
              <w:rPr>
                <w:b/>
                <w:bCs/>
                <w:color w:val="FFFFFF" w:themeColor="background1"/>
                <w:sz w:val="20"/>
                <w:szCs w:val="20"/>
              </w:rPr>
            </w:pPr>
            <w:r w:rsidRPr="006E61B6">
              <w:rPr>
                <w:b/>
                <w:bCs/>
                <w:color w:val="FFFFFF" w:themeColor="background1"/>
                <w:sz w:val="20"/>
                <w:szCs w:val="20"/>
              </w:rPr>
              <w:t>Description</w:t>
            </w:r>
          </w:p>
        </w:tc>
      </w:tr>
      <w:tr w:rsidR="006E61B6" w:rsidRPr="006E61B6" w14:paraId="074A9DDC" w14:textId="77777777" w:rsidTr="006E61B6">
        <w:trPr>
          <w:trHeight w:val="436"/>
        </w:trPr>
        <w:tc>
          <w:tcPr>
            <w:tcW w:w="3150" w:type="dxa"/>
            <w:vAlign w:val="center"/>
          </w:tcPr>
          <w:p w14:paraId="5848ADB8" w14:textId="77777777" w:rsidR="006E61B6" w:rsidRPr="006E61B6" w:rsidRDefault="006E61B6" w:rsidP="006E61B6">
            <w:pPr>
              <w:pStyle w:val="Table"/>
              <w:jc w:val="left"/>
              <w:rPr>
                <w:sz w:val="20"/>
                <w:szCs w:val="20"/>
              </w:rPr>
            </w:pPr>
            <w:r w:rsidRPr="006E61B6">
              <w:rPr>
                <w:sz w:val="20"/>
                <w:szCs w:val="20"/>
              </w:rPr>
              <w:t>51 to 102</w:t>
            </w:r>
          </w:p>
        </w:tc>
        <w:tc>
          <w:tcPr>
            <w:tcW w:w="1980" w:type="dxa"/>
            <w:vAlign w:val="center"/>
          </w:tcPr>
          <w:p w14:paraId="773D574A" w14:textId="77777777" w:rsidR="006E61B6" w:rsidRPr="006E61B6" w:rsidRDefault="006E61B6" w:rsidP="006E61B6">
            <w:pPr>
              <w:pStyle w:val="Table"/>
              <w:jc w:val="left"/>
              <w:rPr>
                <w:sz w:val="20"/>
                <w:szCs w:val="20"/>
              </w:rPr>
            </w:pPr>
            <w:r w:rsidRPr="006E61B6">
              <w:rPr>
                <w:sz w:val="20"/>
                <w:szCs w:val="20"/>
              </w:rPr>
              <w:t>12</w:t>
            </w:r>
          </w:p>
        </w:tc>
      </w:tr>
      <w:tr w:rsidR="006E61B6" w:rsidRPr="006E61B6" w14:paraId="19AFB92D" w14:textId="77777777" w:rsidTr="006E61B6">
        <w:trPr>
          <w:trHeight w:val="436"/>
        </w:trPr>
        <w:tc>
          <w:tcPr>
            <w:tcW w:w="3150" w:type="dxa"/>
            <w:vAlign w:val="center"/>
          </w:tcPr>
          <w:p w14:paraId="5496AAA8" w14:textId="77777777" w:rsidR="006E61B6" w:rsidRPr="006E61B6" w:rsidRDefault="006E61B6" w:rsidP="006E61B6">
            <w:pPr>
              <w:pStyle w:val="Table"/>
              <w:jc w:val="left"/>
              <w:rPr>
                <w:sz w:val="20"/>
                <w:szCs w:val="20"/>
              </w:rPr>
            </w:pPr>
            <w:r w:rsidRPr="006E61B6">
              <w:rPr>
                <w:sz w:val="20"/>
                <w:szCs w:val="20"/>
              </w:rPr>
              <w:t>102 to 2048</w:t>
            </w:r>
          </w:p>
        </w:tc>
        <w:tc>
          <w:tcPr>
            <w:tcW w:w="1980" w:type="dxa"/>
            <w:vAlign w:val="center"/>
          </w:tcPr>
          <w:p w14:paraId="331DCF8A" w14:textId="77777777" w:rsidR="006E61B6" w:rsidRPr="006E61B6" w:rsidRDefault="006E61B6" w:rsidP="006E61B6">
            <w:pPr>
              <w:pStyle w:val="Table"/>
              <w:jc w:val="left"/>
              <w:rPr>
                <w:sz w:val="20"/>
                <w:szCs w:val="20"/>
              </w:rPr>
            </w:pPr>
            <w:r w:rsidRPr="006E61B6">
              <w:rPr>
                <w:sz w:val="20"/>
                <w:szCs w:val="20"/>
              </w:rPr>
              <w:t>18</w:t>
            </w:r>
          </w:p>
        </w:tc>
      </w:tr>
      <w:tr w:rsidR="006E61B6" w:rsidRPr="006E61B6" w14:paraId="18C1E59A" w14:textId="77777777" w:rsidTr="006E61B6">
        <w:trPr>
          <w:trHeight w:val="445"/>
        </w:trPr>
        <w:tc>
          <w:tcPr>
            <w:tcW w:w="3150" w:type="dxa"/>
            <w:vAlign w:val="center"/>
          </w:tcPr>
          <w:p w14:paraId="055FB73D" w14:textId="77777777" w:rsidR="006E61B6" w:rsidRPr="006E61B6" w:rsidRDefault="006E61B6" w:rsidP="006E61B6">
            <w:pPr>
              <w:pStyle w:val="Table"/>
              <w:jc w:val="left"/>
              <w:rPr>
                <w:sz w:val="20"/>
                <w:szCs w:val="20"/>
              </w:rPr>
            </w:pPr>
            <w:r w:rsidRPr="006E61B6">
              <w:rPr>
                <w:sz w:val="20"/>
                <w:szCs w:val="20"/>
              </w:rPr>
              <w:t>2048 to 3072</w:t>
            </w:r>
          </w:p>
        </w:tc>
        <w:tc>
          <w:tcPr>
            <w:tcW w:w="1980" w:type="dxa"/>
            <w:vAlign w:val="center"/>
          </w:tcPr>
          <w:p w14:paraId="44054200" w14:textId="77777777" w:rsidR="006E61B6" w:rsidRPr="006E61B6" w:rsidRDefault="006E61B6" w:rsidP="006E61B6">
            <w:pPr>
              <w:pStyle w:val="Table"/>
              <w:jc w:val="left"/>
              <w:rPr>
                <w:sz w:val="20"/>
                <w:szCs w:val="20"/>
              </w:rPr>
            </w:pPr>
            <w:r w:rsidRPr="006E61B6">
              <w:rPr>
                <w:sz w:val="20"/>
                <w:szCs w:val="20"/>
              </w:rPr>
              <w:t>14</w:t>
            </w:r>
          </w:p>
        </w:tc>
      </w:tr>
    </w:tbl>
    <w:p w14:paraId="6191F220" w14:textId="77777777" w:rsidR="006E61B6" w:rsidRDefault="006E61B6" w:rsidP="006E61B6">
      <w:pPr>
        <w:pStyle w:val="ListParagraph"/>
      </w:pPr>
      <w:r>
        <w:t>Grounding of outer conductor or screen (G.703 compliant)</w:t>
      </w:r>
    </w:p>
    <w:p w14:paraId="3702A3C5" w14:textId="77777777" w:rsidR="006E61B6" w:rsidRDefault="006E61B6" w:rsidP="008539BA">
      <w:pPr>
        <w:pStyle w:val="ListParagraph2"/>
        <w:numPr>
          <w:ilvl w:val="2"/>
          <w:numId w:val="9"/>
        </w:numPr>
      </w:pPr>
      <w:r>
        <w:t>The outer conductor of the coaxial pair or the screen of the symmetrical pair shall be connected to the bonding network both at the input port and the output port.</w:t>
      </w:r>
    </w:p>
    <w:p w14:paraId="7B5196DA" w14:textId="77777777" w:rsidR="006E61B6" w:rsidRDefault="006E61B6" w:rsidP="006E61B6">
      <w:pPr>
        <w:pStyle w:val="ListParagraph3"/>
      </w:pPr>
      <w:r>
        <w:t>NOTE 1 – The cable routing is important if leaving the system block. Consult Recommendation K.27 for guidance.</w:t>
      </w:r>
    </w:p>
    <w:p w14:paraId="041524AE" w14:textId="77777777" w:rsidR="006E61B6" w:rsidRDefault="006E61B6" w:rsidP="006E61B6">
      <w:pPr>
        <w:pStyle w:val="ListParagraph3"/>
      </w:pPr>
      <w:r>
        <w:t>NOTE 2 – The direct connection of the outer conductors of co-axial cables to the bonding network at the transmit and receive interfaces may, because of differences in earth potential at each end of the cable, result in unwanted current flowing in the outer conductor, through connectors and through the receiver input circuitry. This may result in errors or even permanent damage. To prevent this problem, DC isolation may be introduced between the outer conductor and bonding network at the receive interface. The method of DC isolation must not compromise the EMC compliance of the equipment and the overall installation.</w:t>
      </w:r>
    </w:p>
    <w:p w14:paraId="3A2CE7E0" w14:textId="77777777" w:rsidR="006E61B6" w:rsidRDefault="006E61B6" w:rsidP="006E61B6">
      <w:pPr>
        <w:pStyle w:val="ListParagraph"/>
      </w:pPr>
      <w:r>
        <w:t>Over voltage and lightning protection on the E1 interfaces</w:t>
      </w:r>
    </w:p>
    <w:p w14:paraId="67C84CD9" w14:textId="77777777" w:rsidR="006E61B6" w:rsidRDefault="006E61B6" w:rsidP="008539BA">
      <w:pPr>
        <w:pStyle w:val="ListParagraph2"/>
        <w:numPr>
          <w:ilvl w:val="2"/>
          <w:numId w:val="10"/>
        </w:numPr>
      </w:pPr>
      <w:r>
        <w:t>The ITU-T recommendations K27, K35, K40 and K41 must be applied. Connection of Oman</w:t>
      </w:r>
      <w:r w:rsidR="003C6114">
        <w:t>tel</w:t>
      </w:r>
      <w:r w:rsidR="0000712E">
        <w:t>’</w:t>
      </w:r>
      <w:r>
        <w:t xml:space="preserve">s E1 interfaces with </w:t>
      </w:r>
      <w:r w:rsidR="003C6114">
        <w:t xml:space="preserve">the Requesting Party </w:t>
      </w:r>
      <w:r>
        <w:t xml:space="preserve">E1 interfaces using improper over </w:t>
      </w:r>
      <w:r>
        <w:lastRenderedPageBreak/>
        <w:t>voltage and lightning protection measures are not allowed. Common earthing for both Oman</w:t>
      </w:r>
      <w:r w:rsidR="003C6114">
        <w:t>tel</w:t>
      </w:r>
      <w:r>
        <w:t xml:space="preserve">’s and </w:t>
      </w:r>
      <w:r w:rsidR="003C6114">
        <w:t xml:space="preserve">the Requesting Part </w:t>
      </w:r>
      <w:r>
        <w:t>equipment with E1 interfaces is mandatory.</w:t>
      </w:r>
    </w:p>
    <w:p w14:paraId="0A38FDD2" w14:textId="77777777" w:rsidR="006E61B6" w:rsidRPr="006E61B6" w:rsidRDefault="006E61B6" w:rsidP="006E61B6">
      <w:pPr>
        <w:pStyle w:val="ListParagraph"/>
      </w:pPr>
      <w:r w:rsidRPr="006E61B6">
        <w:t>Jitter and wander on the E1 traffic interface</w:t>
      </w:r>
    </w:p>
    <w:p w14:paraId="476E24B9" w14:textId="77777777" w:rsidR="006E61B6" w:rsidRDefault="006E61B6" w:rsidP="008539BA">
      <w:pPr>
        <w:pStyle w:val="ListParagraph2"/>
        <w:numPr>
          <w:ilvl w:val="2"/>
          <w:numId w:val="11"/>
        </w:numPr>
      </w:pPr>
      <w:r>
        <w:t>Network limits for Output Jitter at E1 traffic interface (ITU-T G.823 compliant)</w:t>
      </w:r>
    </w:p>
    <w:tbl>
      <w:tblPr>
        <w:tblStyle w:val="TableGridLight1"/>
        <w:tblW w:w="7110" w:type="dxa"/>
        <w:tblInd w:w="1008" w:type="dxa"/>
        <w:tblLayout w:type="fixed"/>
        <w:tblLook w:val="04A0" w:firstRow="1" w:lastRow="0" w:firstColumn="1" w:lastColumn="0" w:noHBand="0" w:noVBand="1"/>
      </w:tblPr>
      <w:tblGrid>
        <w:gridCol w:w="1800"/>
        <w:gridCol w:w="2700"/>
        <w:gridCol w:w="2610"/>
      </w:tblGrid>
      <w:tr w:rsidR="006E61B6" w:rsidRPr="006E61B6" w14:paraId="19E15050" w14:textId="77777777" w:rsidTr="007E540A">
        <w:trPr>
          <w:trHeight w:val="580"/>
        </w:trPr>
        <w:tc>
          <w:tcPr>
            <w:tcW w:w="1800" w:type="dxa"/>
            <w:shd w:val="clear" w:color="auto" w:fill="4A93D1"/>
            <w:vAlign w:val="center"/>
          </w:tcPr>
          <w:p w14:paraId="6783B954" w14:textId="77777777" w:rsidR="006E61B6" w:rsidRPr="006E61B6" w:rsidRDefault="006E61B6" w:rsidP="006E61B6">
            <w:pPr>
              <w:pStyle w:val="Table"/>
              <w:rPr>
                <w:b/>
                <w:bCs/>
                <w:color w:val="FFFFFF" w:themeColor="background1"/>
                <w:sz w:val="20"/>
                <w:szCs w:val="20"/>
              </w:rPr>
            </w:pPr>
            <w:r>
              <w:rPr>
                <w:b/>
                <w:bCs/>
                <w:color w:val="FFFFFF" w:themeColor="background1"/>
                <w:sz w:val="20"/>
                <w:szCs w:val="20"/>
              </w:rPr>
              <w:t>Interface</w:t>
            </w:r>
          </w:p>
        </w:tc>
        <w:tc>
          <w:tcPr>
            <w:tcW w:w="2700" w:type="dxa"/>
            <w:shd w:val="clear" w:color="auto" w:fill="4A93D1"/>
            <w:vAlign w:val="center"/>
          </w:tcPr>
          <w:p w14:paraId="4369A97A" w14:textId="77777777" w:rsidR="006E61B6" w:rsidRPr="006E61B6" w:rsidRDefault="006E61B6" w:rsidP="007E540A">
            <w:pPr>
              <w:pStyle w:val="Table"/>
              <w:rPr>
                <w:b/>
                <w:bCs/>
                <w:color w:val="FFFFFF" w:themeColor="background1"/>
                <w:sz w:val="20"/>
                <w:szCs w:val="20"/>
              </w:rPr>
            </w:pPr>
            <w:r w:rsidRPr="006E61B6">
              <w:rPr>
                <w:b/>
                <w:bCs/>
                <w:color w:val="FFFFFF" w:themeColor="background1"/>
                <w:sz w:val="20"/>
                <w:szCs w:val="20"/>
              </w:rPr>
              <w:t>Measurement bandwidth,</w:t>
            </w:r>
            <w:r w:rsidR="007E540A">
              <w:rPr>
                <w:b/>
                <w:bCs/>
                <w:color w:val="FFFFFF" w:themeColor="background1"/>
                <w:sz w:val="20"/>
                <w:szCs w:val="20"/>
              </w:rPr>
              <w:t xml:space="preserve"> </w:t>
            </w:r>
            <w:r w:rsidRPr="006E61B6">
              <w:rPr>
                <w:b/>
                <w:bCs/>
                <w:color w:val="FFFFFF" w:themeColor="background1"/>
                <w:sz w:val="20"/>
                <w:szCs w:val="20"/>
              </w:rPr>
              <w:t>-3 dB frequencies (Hz)</w:t>
            </w:r>
          </w:p>
        </w:tc>
        <w:tc>
          <w:tcPr>
            <w:tcW w:w="2610" w:type="dxa"/>
            <w:shd w:val="clear" w:color="auto" w:fill="4A93D1"/>
            <w:vAlign w:val="center"/>
          </w:tcPr>
          <w:p w14:paraId="47977E9E" w14:textId="77777777" w:rsidR="006E61B6" w:rsidRPr="006E61B6" w:rsidRDefault="007E540A" w:rsidP="007E540A">
            <w:pPr>
              <w:pStyle w:val="Table"/>
              <w:rPr>
                <w:b/>
                <w:bCs/>
                <w:color w:val="FFFFFF" w:themeColor="background1"/>
                <w:sz w:val="20"/>
                <w:szCs w:val="20"/>
              </w:rPr>
            </w:pPr>
            <w:r>
              <w:rPr>
                <w:b/>
                <w:bCs/>
                <w:color w:val="FFFFFF" w:themeColor="background1"/>
                <w:sz w:val="20"/>
                <w:szCs w:val="20"/>
              </w:rPr>
              <w:t xml:space="preserve">Peak-to-peak </w:t>
            </w:r>
            <w:proofErr w:type="gramStart"/>
            <w:r>
              <w:rPr>
                <w:b/>
                <w:bCs/>
                <w:color w:val="FFFFFF" w:themeColor="background1"/>
                <w:sz w:val="20"/>
                <w:szCs w:val="20"/>
              </w:rPr>
              <w:t>amplitude</w:t>
            </w:r>
            <w:r w:rsidR="006E61B6" w:rsidRPr="006E61B6">
              <w:rPr>
                <w:b/>
                <w:bCs/>
                <w:color w:val="FFFFFF" w:themeColor="background1"/>
                <w:sz w:val="20"/>
                <w:szCs w:val="20"/>
              </w:rPr>
              <w:t>(</w:t>
            </w:r>
            <w:proofErr w:type="spellStart"/>
            <w:proofErr w:type="gramEnd"/>
            <w:r w:rsidR="006E61B6" w:rsidRPr="006E61B6">
              <w:rPr>
                <w:b/>
                <w:bCs/>
                <w:color w:val="FFFFFF" w:themeColor="background1"/>
                <w:sz w:val="20"/>
                <w:szCs w:val="20"/>
              </w:rPr>
              <w:t>UIpp</w:t>
            </w:r>
            <w:proofErr w:type="spellEnd"/>
            <w:r w:rsidR="006E61B6" w:rsidRPr="006E61B6">
              <w:rPr>
                <w:b/>
                <w:bCs/>
                <w:color w:val="FFFFFF" w:themeColor="background1"/>
                <w:sz w:val="20"/>
                <w:szCs w:val="20"/>
              </w:rPr>
              <w:t>)</w:t>
            </w:r>
          </w:p>
        </w:tc>
      </w:tr>
      <w:tr w:rsidR="006E61B6" w:rsidRPr="006E61B6" w14:paraId="75402671" w14:textId="77777777" w:rsidTr="007E540A">
        <w:trPr>
          <w:trHeight w:val="436"/>
        </w:trPr>
        <w:tc>
          <w:tcPr>
            <w:tcW w:w="1800" w:type="dxa"/>
            <w:vMerge w:val="restart"/>
            <w:vAlign w:val="center"/>
          </w:tcPr>
          <w:p w14:paraId="73D2C987" w14:textId="77777777" w:rsidR="006E61B6" w:rsidRPr="006E61B6" w:rsidRDefault="00904F5E" w:rsidP="006E61B6">
            <w:pPr>
              <w:pStyle w:val="Table"/>
              <w:jc w:val="left"/>
              <w:rPr>
                <w:sz w:val="20"/>
                <w:szCs w:val="20"/>
              </w:rPr>
            </w:pPr>
            <w:r>
              <w:rPr>
                <w:sz w:val="20"/>
                <w:szCs w:val="20"/>
              </w:rPr>
              <w:t>2048</w:t>
            </w:r>
            <w:r w:rsidR="006E61B6" w:rsidRPr="006E61B6">
              <w:rPr>
                <w:sz w:val="20"/>
                <w:szCs w:val="20"/>
              </w:rPr>
              <w:t xml:space="preserve"> kbit/s</w:t>
            </w:r>
          </w:p>
        </w:tc>
        <w:tc>
          <w:tcPr>
            <w:tcW w:w="2700" w:type="dxa"/>
            <w:vAlign w:val="center"/>
          </w:tcPr>
          <w:p w14:paraId="788A3048" w14:textId="77777777" w:rsidR="006E61B6" w:rsidRPr="006E61B6" w:rsidRDefault="006E61B6" w:rsidP="007E540A">
            <w:pPr>
              <w:pStyle w:val="Table"/>
              <w:jc w:val="left"/>
              <w:rPr>
                <w:sz w:val="20"/>
                <w:szCs w:val="20"/>
              </w:rPr>
            </w:pPr>
            <w:r w:rsidRPr="006E61B6">
              <w:rPr>
                <w:sz w:val="20"/>
                <w:szCs w:val="20"/>
              </w:rPr>
              <w:t>2048 kbit/s</w:t>
            </w:r>
          </w:p>
        </w:tc>
        <w:tc>
          <w:tcPr>
            <w:tcW w:w="2610" w:type="dxa"/>
            <w:vAlign w:val="center"/>
          </w:tcPr>
          <w:p w14:paraId="686B3E41" w14:textId="77777777" w:rsidR="006E61B6" w:rsidRPr="006E61B6" w:rsidRDefault="006E61B6" w:rsidP="007E540A">
            <w:pPr>
              <w:pStyle w:val="Table"/>
              <w:jc w:val="left"/>
              <w:rPr>
                <w:sz w:val="20"/>
                <w:szCs w:val="20"/>
              </w:rPr>
            </w:pPr>
            <w:r w:rsidRPr="006E61B6">
              <w:rPr>
                <w:sz w:val="20"/>
                <w:szCs w:val="20"/>
              </w:rPr>
              <w:t>2048 kbit/s</w:t>
            </w:r>
          </w:p>
        </w:tc>
      </w:tr>
      <w:tr w:rsidR="006E61B6" w:rsidRPr="006E61B6" w14:paraId="65F7CE76" w14:textId="77777777" w:rsidTr="007E540A">
        <w:trPr>
          <w:trHeight w:val="436"/>
        </w:trPr>
        <w:tc>
          <w:tcPr>
            <w:tcW w:w="1800" w:type="dxa"/>
            <w:vMerge/>
            <w:vAlign w:val="center"/>
          </w:tcPr>
          <w:p w14:paraId="390FAD4B" w14:textId="77777777" w:rsidR="006E61B6" w:rsidRPr="006E61B6" w:rsidRDefault="006E61B6" w:rsidP="006E61B6">
            <w:pPr>
              <w:pStyle w:val="Table"/>
              <w:jc w:val="left"/>
              <w:rPr>
                <w:sz w:val="20"/>
                <w:szCs w:val="20"/>
              </w:rPr>
            </w:pPr>
          </w:p>
        </w:tc>
        <w:tc>
          <w:tcPr>
            <w:tcW w:w="2700" w:type="dxa"/>
            <w:vAlign w:val="center"/>
          </w:tcPr>
          <w:p w14:paraId="2977F3FC" w14:textId="77777777" w:rsidR="006E61B6" w:rsidRPr="006E61B6" w:rsidRDefault="006E61B6" w:rsidP="007E540A">
            <w:pPr>
              <w:pStyle w:val="Table"/>
              <w:jc w:val="left"/>
              <w:rPr>
                <w:sz w:val="20"/>
                <w:szCs w:val="20"/>
              </w:rPr>
            </w:pPr>
            <w:r w:rsidRPr="006E61B6">
              <w:rPr>
                <w:sz w:val="20"/>
                <w:szCs w:val="20"/>
              </w:rPr>
              <w:t>2048 kbit/s</w:t>
            </w:r>
          </w:p>
        </w:tc>
        <w:tc>
          <w:tcPr>
            <w:tcW w:w="2610" w:type="dxa"/>
            <w:vAlign w:val="center"/>
          </w:tcPr>
          <w:p w14:paraId="79D7C6F0" w14:textId="77777777" w:rsidR="006E61B6" w:rsidRPr="006E61B6" w:rsidRDefault="006E61B6" w:rsidP="007E540A">
            <w:pPr>
              <w:pStyle w:val="Table"/>
              <w:jc w:val="left"/>
              <w:rPr>
                <w:sz w:val="20"/>
                <w:szCs w:val="20"/>
              </w:rPr>
            </w:pPr>
            <w:r w:rsidRPr="006E61B6">
              <w:rPr>
                <w:sz w:val="20"/>
                <w:szCs w:val="20"/>
              </w:rPr>
              <w:t>2048 kbit/s</w:t>
            </w:r>
          </w:p>
        </w:tc>
      </w:tr>
      <w:tr w:rsidR="007E540A" w:rsidRPr="006E61B6" w14:paraId="1AADA095" w14:textId="77777777" w:rsidTr="00CE39DA">
        <w:trPr>
          <w:trHeight w:val="445"/>
        </w:trPr>
        <w:tc>
          <w:tcPr>
            <w:tcW w:w="7110" w:type="dxa"/>
            <w:gridSpan w:val="3"/>
            <w:vAlign w:val="center"/>
          </w:tcPr>
          <w:p w14:paraId="6EB866A5" w14:textId="77777777" w:rsidR="007E540A" w:rsidRPr="007E540A" w:rsidRDefault="007E540A" w:rsidP="007E540A">
            <w:pPr>
              <w:pStyle w:val="Table"/>
              <w:jc w:val="left"/>
              <w:rPr>
                <w:sz w:val="20"/>
                <w:szCs w:val="20"/>
              </w:rPr>
            </w:pPr>
            <w:r w:rsidRPr="007E540A">
              <w:rPr>
                <w:sz w:val="20"/>
                <w:szCs w:val="20"/>
              </w:rPr>
              <w:t>NOTE 1</w:t>
            </w:r>
          </w:p>
          <w:p w14:paraId="3346C9B8" w14:textId="77777777" w:rsidR="007E540A" w:rsidRPr="007E540A" w:rsidRDefault="007E540A" w:rsidP="007E540A">
            <w:pPr>
              <w:pStyle w:val="Table"/>
              <w:jc w:val="left"/>
              <w:rPr>
                <w:sz w:val="20"/>
                <w:szCs w:val="20"/>
              </w:rPr>
            </w:pPr>
            <w:r>
              <w:rPr>
                <w:sz w:val="20"/>
                <w:szCs w:val="20"/>
              </w:rPr>
              <w:t>For 2</w:t>
            </w:r>
            <w:r w:rsidRPr="007E540A">
              <w:rPr>
                <w:sz w:val="20"/>
                <w:szCs w:val="20"/>
              </w:rPr>
              <w:t>048 kbit/s interfaces within the network of an operator, the high-pass cut-off frequency may be specified to be 700 Hz (instead of 18 kHz). However, at interfaces between different operator networks, the values in the Table apply, unless involved parties agree otherwise.</w:t>
            </w:r>
          </w:p>
          <w:p w14:paraId="3DB56266" w14:textId="77777777" w:rsidR="007E540A" w:rsidRPr="007E540A" w:rsidRDefault="007E540A" w:rsidP="007E540A">
            <w:pPr>
              <w:pStyle w:val="Table"/>
              <w:jc w:val="left"/>
              <w:rPr>
                <w:sz w:val="20"/>
                <w:szCs w:val="20"/>
              </w:rPr>
            </w:pPr>
            <w:r w:rsidRPr="007E540A">
              <w:rPr>
                <w:sz w:val="20"/>
                <w:szCs w:val="20"/>
              </w:rPr>
              <w:t>NOTE 2</w:t>
            </w:r>
          </w:p>
          <w:p w14:paraId="728CB2A0" w14:textId="77777777" w:rsidR="007E540A" w:rsidRPr="006E61B6" w:rsidRDefault="00904F5E" w:rsidP="007E540A">
            <w:pPr>
              <w:pStyle w:val="Table"/>
              <w:jc w:val="left"/>
              <w:rPr>
                <w:sz w:val="20"/>
                <w:szCs w:val="20"/>
              </w:rPr>
            </w:pPr>
            <w:r>
              <w:rPr>
                <w:sz w:val="20"/>
                <w:szCs w:val="20"/>
              </w:rPr>
              <w:t>2048</w:t>
            </w:r>
            <w:r w:rsidR="007E540A" w:rsidRPr="007E540A">
              <w:rPr>
                <w:sz w:val="20"/>
                <w:szCs w:val="20"/>
              </w:rPr>
              <w:t xml:space="preserve"> kbit/s 1 UI = 488 ns</w:t>
            </w:r>
          </w:p>
        </w:tc>
      </w:tr>
    </w:tbl>
    <w:p w14:paraId="11F642BB" w14:textId="77777777" w:rsidR="007E540A" w:rsidRDefault="007E540A" w:rsidP="007E540A">
      <w:pPr>
        <w:rPr>
          <w:b/>
        </w:rPr>
      </w:pPr>
    </w:p>
    <w:p w14:paraId="2F6AC82A" w14:textId="77777777" w:rsidR="007E540A" w:rsidRPr="007E540A" w:rsidRDefault="007E540A" w:rsidP="007E540A">
      <w:pPr>
        <w:pStyle w:val="ListParagraph"/>
      </w:pPr>
      <w:r w:rsidRPr="007E540A">
        <w:t xml:space="preserve">Network limits for Output Wander at E1 traffic interface (ITU-T G.823 compliant) </w:t>
      </w:r>
    </w:p>
    <w:p w14:paraId="2E8DD0FF" w14:textId="77777777" w:rsidR="007E540A" w:rsidRDefault="007E540A" w:rsidP="00904F5E">
      <w:pPr>
        <w:pStyle w:val="ListParagraph2"/>
        <w:numPr>
          <w:ilvl w:val="2"/>
          <w:numId w:val="12"/>
        </w:numPr>
      </w:pPr>
      <w:r>
        <w:t>The maximum level of wander that may exist at a 2048 kbit/s network interface, expressed in MRTIE, shall not exceed the limit given in the next table:</w:t>
      </w:r>
    </w:p>
    <w:tbl>
      <w:tblPr>
        <w:tblStyle w:val="TableGridLight1"/>
        <w:tblW w:w="7110" w:type="dxa"/>
        <w:tblInd w:w="1008" w:type="dxa"/>
        <w:tblLayout w:type="fixed"/>
        <w:tblLook w:val="04A0" w:firstRow="1" w:lastRow="0" w:firstColumn="1" w:lastColumn="0" w:noHBand="0" w:noVBand="1"/>
      </w:tblPr>
      <w:tblGrid>
        <w:gridCol w:w="3870"/>
        <w:gridCol w:w="3240"/>
      </w:tblGrid>
      <w:tr w:rsidR="007E540A" w:rsidRPr="006E61B6" w14:paraId="0E04C84A" w14:textId="77777777" w:rsidTr="007E540A">
        <w:trPr>
          <w:trHeight w:val="472"/>
        </w:trPr>
        <w:tc>
          <w:tcPr>
            <w:tcW w:w="3870" w:type="dxa"/>
            <w:shd w:val="clear" w:color="auto" w:fill="4A93D1"/>
            <w:vAlign w:val="center"/>
          </w:tcPr>
          <w:p w14:paraId="11978308" w14:textId="77777777" w:rsidR="007E540A" w:rsidRDefault="007E540A" w:rsidP="007E540A">
            <w:pPr>
              <w:pStyle w:val="Table"/>
              <w:rPr>
                <w:b/>
                <w:bCs/>
                <w:color w:val="FFFFFF" w:themeColor="background1"/>
                <w:sz w:val="20"/>
                <w:szCs w:val="20"/>
              </w:rPr>
            </w:pPr>
            <w:r>
              <w:rPr>
                <w:b/>
                <w:bCs/>
                <w:color w:val="FFFFFF" w:themeColor="background1"/>
                <w:sz w:val="20"/>
                <w:szCs w:val="20"/>
              </w:rPr>
              <w:t>Observation Interval</w:t>
            </w:r>
          </w:p>
          <w:p w14:paraId="7C8A8CD0" w14:textId="77777777" w:rsidR="007E540A" w:rsidRPr="006E61B6" w:rsidRDefault="007E540A" w:rsidP="007E540A">
            <w:pPr>
              <w:pStyle w:val="Table"/>
              <w:rPr>
                <w:b/>
                <w:bCs/>
                <w:color w:val="FFFFFF" w:themeColor="background1"/>
                <w:sz w:val="20"/>
                <w:szCs w:val="20"/>
              </w:rPr>
            </w:pPr>
            <w:r>
              <w:rPr>
                <w:b/>
                <w:bCs/>
                <w:color w:val="FFFFFF" w:themeColor="background1"/>
                <w:sz w:val="20"/>
                <w:szCs w:val="20"/>
              </w:rPr>
              <w:t>t (Sec)</w:t>
            </w:r>
          </w:p>
        </w:tc>
        <w:tc>
          <w:tcPr>
            <w:tcW w:w="3240" w:type="dxa"/>
            <w:shd w:val="clear" w:color="auto" w:fill="4A93D1"/>
            <w:vAlign w:val="center"/>
          </w:tcPr>
          <w:p w14:paraId="6A490FA1" w14:textId="77777777" w:rsidR="007E540A" w:rsidRPr="007E540A" w:rsidRDefault="007E540A" w:rsidP="007E540A">
            <w:pPr>
              <w:pStyle w:val="Table"/>
              <w:rPr>
                <w:b/>
                <w:bCs/>
                <w:color w:val="FFFFFF" w:themeColor="background1"/>
                <w:sz w:val="20"/>
                <w:szCs w:val="20"/>
              </w:rPr>
            </w:pPr>
            <w:r w:rsidRPr="007E540A">
              <w:rPr>
                <w:b/>
                <w:bCs/>
                <w:color w:val="FFFFFF" w:themeColor="background1"/>
                <w:sz w:val="20"/>
                <w:szCs w:val="20"/>
              </w:rPr>
              <w:t>MRTIE requirement</w:t>
            </w:r>
          </w:p>
          <w:p w14:paraId="0FE98E4D" w14:textId="77777777" w:rsidR="007E540A" w:rsidRPr="006E61B6" w:rsidRDefault="007E540A" w:rsidP="007E540A">
            <w:pPr>
              <w:pStyle w:val="Table"/>
              <w:rPr>
                <w:b/>
                <w:bCs/>
                <w:color w:val="FFFFFF" w:themeColor="background1"/>
                <w:sz w:val="20"/>
                <w:szCs w:val="20"/>
              </w:rPr>
            </w:pPr>
            <w:r w:rsidRPr="007E540A">
              <w:rPr>
                <w:b/>
                <w:bCs/>
                <w:color w:val="FFFFFF" w:themeColor="background1"/>
                <w:sz w:val="20"/>
                <w:szCs w:val="20"/>
              </w:rPr>
              <w:t>(</w:t>
            </w:r>
            <w:proofErr w:type="spellStart"/>
            <w:r w:rsidRPr="007E540A">
              <w:rPr>
                <w:rFonts w:ascii="Calibri" w:hAnsi="Calibri" w:cs="Calibri"/>
                <w:b/>
                <w:bCs/>
                <w:color w:val="FFFFFF" w:themeColor="background1"/>
                <w:sz w:val="20"/>
                <w:szCs w:val="20"/>
              </w:rPr>
              <w:t>μ</w:t>
            </w:r>
            <w:r w:rsidRPr="007E540A">
              <w:rPr>
                <w:b/>
                <w:bCs/>
                <w:color w:val="FFFFFF" w:themeColor="background1"/>
                <w:sz w:val="20"/>
                <w:szCs w:val="20"/>
              </w:rPr>
              <w:t>s</w:t>
            </w:r>
            <w:proofErr w:type="spellEnd"/>
            <w:r w:rsidRPr="007E540A">
              <w:rPr>
                <w:b/>
                <w:bCs/>
                <w:color w:val="FFFFFF" w:themeColor="background1"/>
                <w:sz w:val="20"/>
                <w:szCs w:val="20"/>
              </w:rPr>
              <w:t>)</w:t>
            </w:r>
          </w:p>
        </w:tc>
      </w:tr>
      <w:tr w:rsidR="007E540A" w:rsidRPr="006E61B6" w14:paraId="21D586A3" w14:textId="77777777" w:rsidTr="007E540A">
        <w:trPr>
          <w:trHeight w:val="436"/>
        </w:trPr>
        <w:tc>
          <w:tcPr>
            <w:tcW w:w="3870" w:type="dxa"/>
            <w:vAlign w:val="center"/>
          </w:tcPr>
          <w:p w14:paraId="688467B7" w14:textId="77777777" w:rsidR="007E540A" w:rsidRPr="006E61B6" w:rsidRDefault="007E540A" w:rsidP="007E540A">
            <w:pPr>
              <w:pStyle w:val="Table"/>
              <w:jc w:val="left"/>
              <w:rPr>
                <w:sz w:val="20"/>
                <w:szCs w:val="20"/>
              </w:rPr>
            </w:pPr>
            <w:r w:rsidRPr="007E540A">
              <w:rPr>
                <w:sz w:val="20"/>
                <w:szCs w:val="20"/>
              </w:rPr>
              <w:t>0.05 &lt; t &lt;= 0.2</w:t>
            </w:r>
          </w:p>
        </w:tc>
        <w:tc>
          <w:tcPr>
            <w:tcW w:w="3240" w:type="dxa"/>
            <w:vAlign w:val="center"/>
          </w:tcPr>
          <w:p w14:paraId="3A8BD775" w14:textId="77777777" w:rsidR="007E540A" w:rsidRPr="006E61B6" w:rsidRDefault="007E540A" w:rsidP="007E540A">
            <w:pPr>
              <w:pStyle w:val="Table"/>
              <w:jc w:val="left"/>
              <w:rPr>
                <w:sz w:val="20"/>
                <w:szCs w:val="20"/>
              </w:rPr>
            </w:pPr>
            <w:r w:rsidRPr="007E540A">
              <w:rPr>
                <w:sz w:val="20"/>
                <w:szCs w:val="20"/>
              </w:rPr>
              <w:t>46 t</w:t>
            </w:r>
          </w:p>
        </w:tc>
      </w:tr>
      <w:tr w:rsidR="007E540A" w:rsidRPr="006E61B6" w14:paraId="51C44776" w14:textId="77777777" w:rsidTr="007E540A">
        <w:trPr>
          <w:trHeight w:val="436"/>
        </w:trPr>
        <w:tc>
          <w:tcPr>
            <w:tcW w:w="3870" w:type="dxa"/>
            <w:vAlign w:val="center"/>
          </w:tcPr>
          <w:p w14:paraId="179ADA9B" w14:textId="77777777" w:rsidR="007E540A" w:rsidRPr="006E61B6" w:rsidRDefault="007E540A" w:rsidP="007E540A">
            <w:pPr>
              <w:pStyle w:val="Table"/>
              <w:jc w:val="left"/>
              <w:rPr>
                <w:sz w:val="20"/>
                <w:szCs w:val="20"/>
              </w:rPr>
            </w:pPr>
            <w:r w:rsidRPr="007E540A">
              <w:rPr>
                <w:sz w:val="20"/>
                <w:szCs w:val="20"/>
              </w:rPr>
              <w:t>0.2 &lt; t &lt;= 32</w:t>
            </w:r>
          </w:p>
        </w:tc>
        <w:tc>
          <w:tcPr>
            <w:tcW w:w="3240" w:type="dxa"/>
            <w:vAlign w:val="center"/>
          </w:tcPr>
          <w:p w14:paraId="2AC13969" w14:textId="77777777" w:rsidR="007E540A" w:rsidRPr="006E61B6" w:rsidRDefault="007E540A" w:rsidP="007E540A">
            <w:pPr>
              <w:pStyle w:val="Table"/>
              <w:jc w:val="left"/>
              <w:rPr>
                <w:sz w:val="20"/>
                <w:szCs w:val="20"/>
              </w:rPr>
            </w:pPr>
            <w:r w:rsidRPr="007E540A">
              <w:rPr>
                <w:sz w:val="20"/>
                <w:szCs w:val="20"/>
              </w:rPr>
              <w:t>9</w:t>
            </w:r>
          </w:p>
        </w:tc>
      </w:tr>
      <w:tr w:rsidR="007E540A" w:rsidRPr="006E61B6" w14:paraId="4C48D924" w14:textId="77777777" w:rsidTr="007E540A">
        <w:trPr>
          <w:trHeight w:val="445"/>
        </w:trPr>
        <w:tc>
          <w:tcPr>
            <w:tcW w:w="3870" w:type="dxa"/>
            <w:vAlign w:val="center"/>
          </w:tcPr>
          <w:p w14:paraId="71F65D4B" w14:textId="77777777" w:rsidR="007E540A" w:rsidRPr="006E61B6" w:rsidRDefault="007E540A" w:rsidP="007E540A">
            <w:pPr>
              <w:pStyle w:val="Table"/>
              <w:jc w:val="left"/>
              <w:rPr>
                <w:sz w:val="20"/>
                <w:szCs w:val="20"/>
              </w:rPr>
            </w:pPr>
            <w:r w:rsidRPr="007E540A">
              <w:rPr>
                <w:sz w:val="20"/>
                <w:szCs w:val="20"/>
              </w:rPr>
              <w:t>32 &lt; t &lt;= 64</w:t>
            </w:r>
          </w:p>
        </w:tc>
        <w:tc>
          <w:tcPr>
            <w:tcW w:w="3240" w:type="dxa"/>
            <w:vAlign w:val="center"/>
          </w:tcPr>
          <w:p w14:paraId="136607E0" w14:textId="77777777" w:rsidR="007E540A" w:rsidRPr="006E61B6" w:rsidRDefault="007E540A" w:rsidP="007E540A">
            <w:pPr>
              <w:pStyle w:val="Table"/>
              <w:jc w:val="left"/>
              <w:rPr>
                <w:sz w:val="20"/>
                <w:szCs w:val="20"/>
              </w:rPr>
            </w:pPr>
            <w:r w:rsidRPr="007E540A">
              <w:rPr>
                <w:sz w:val="20"/>
                <w:szCs w:val="20"/>
              </w:rPr>
              <w:t>0.28 t</w:t>
            </w:r>
          </w:p>
        </w:tc>
      </w:tr>
      <w:tr w:rsidR="007E540A" w:rsidRPr="006E61B6" w14:paraId="57A07400" w14:textId="77777777" w:rsidTr="007E540A">
        <w:trPr>
          <w:trHeight w:val="445"/>
        </w:trPr>
        <w:tc>
          <w:tcPr>
            <w:tcW w:w="3870" w:type="dxa"/>
            <w:vAlign w:val="center"/>
          </w:tcPr>
          <w:p w14:paraId="21BF1FD5" w14:textId="77777777" w:rsidR="007E540A" w:rsidRPr="007E540A" w:rsidRDefault="007E540A" w:rsidP="007E540A">
            <w:pPr>
              <w:pStyle w:val="Table"/>
              <w:jc w:val="left"/>
              <w:rPr>
                <w:sz w:val="20"/>
                <w:szCs w:val="20"/>
              </w:rPr>
            </w:pPr>
            <w:r w:rsidRPr="007E540A">
              <w:rPr>
                <w:sz w:val="20"/>
                <w:szCs w:val="20"/>
              </w:rPr>
              <w:t>64 &lt; t &lt;= 1 000 (NOTE 1)</w:t>
            </w:r>
          </w:p>
        </w:tc>
        <w:tc>
          <w:tcPr>
            <w:tcW w:w="3240" w:type="dxa"/>
            <w:vAlign w:val="center"/>
          </w:tcPr>
          <w:p w14:paraId="3C34FB7B" w14:textId="77777777" w:rsidR="007E540A" w:rsidRPr="007E540A" w:rsidRDefault="007E540A" w:rsidP="007E540A">
            <w:pPr>
              <w:pStyle w:val="Table"/>
              <w:jc w:val="left"/>
              <w:rPr>
                <w:sz w:val="20"/>
                <w:szCs w:val="20"/>
              </w:rPr>
            </w:pPr>
            <w:r w:rsidRPr="007E540A">
              <w:rPr>
                <w:sz w:val="20"/>
                <w:szCs w:val="20"/>
              </w:rPr>
              <w:t>18</w:t>
            </w:r>
          </w:p>
        </w:tc>
      </w:tr>
      <w:tr w:rsidR="007E540A" w:rsidRPr="006E61B6" w14:paraId="271CE23A" w14:textId="77777777" w:rsidTr="007E540A">
        <w:trPr>
          <w:trHeight w:val="445"/>
        </w:trPr>
        <w:tc>
          <w:tcPr>
            <w:tcW w:w="7110" w:type="dxa"/>
            <w:gridSpan w:val="2"/>
            <w:vAlign w:val="center"/>
          </w:tcPr>
          <w:p w14:paraId="418F076E" w14:textId="77777777" w:rsidR="007E540A" w:rsidRPr="007E540A" w:rsidRDefault="007E540A" w:rsidP="007E540A">
            <w:pPr>
              <w:pStyle w:val="Table"/>
              <w:jc w:val="left"/>
              <w:rPr>
                <w:sz w:val="20"/>
                <w:szCs w:val="20"/>
              </w:rPr>
            </w:pPr>
            <w:r w:rsidRPr="007E540A">
              <w:rPr>
                <w:sz w:val="20"/>
                <w:szCs w:val="20"/>
              </w:rPr>
              <w:t>NOTE 1 - For the asynchronous configuration the maximum observation interval to be considered is 80 seconds</w:t>
            </w:r>
          </w:p>
        </w:tc>
      </w:tr>
    </w:tbl>
    <w:p w14:paraId="513947F6" w14:textId="77777777" w:rsidR="002351F1" w:rsidRDefault="002351F1" w:rsidP="002351F1">
      <w:pPr>
        <w:pStyle w:val="ListParagraph2"/>
        <w:numPr>
          <w:ilvl w:val="0"/>
          <w:numId w:val="0"/>
        </w:numPr>
        <w:ind w:left="864"/>
        <w:rPr>
          <w:b/>
          <w:bCs/>
          <w:u w:val="single"/>
        </w:rPr>
      </w:pPr>
      <w:bookmarkStart w:id="2" w:name="_Toc73522168"/>
    </w:p>
    <w:p w14:paraId="67F8E954" w14:textId="67524C6A" w:rsidR="002351F1" w:rsidRPr="002351F1" w:rsidRDefault="00EF7239" w:rsidP="002351F1">
      <w:pPr>
        <w:pStyle w:val="ListParagraph2"/>
        <w:numPr>
          <w:ilvl w:val="2"/>
          <w:numId w:val="12"/>
        </w:numPr>
        <w:rPr>
          <w:b/>
          <w:bCs/>
          <w:u w:val="single"/>
        </w:rPr>
      </w:pPr>
      <w:r>
        <w:rPr>
          <w:b/>
          <w:bCs/>
          <w:u w:val="single"/>
        </w:rPr>
        <w:lastRenderedPageBreak/>
        <w:t>Ethernet</w:t>
      </w:r>
      <w:bookmarkEnd w:id="2"/>
      <w:r w:rsidR="005549D2">
        <w:rPr>
          <w:b/>
          <w:bCs/>
          <w:u w:val="single"/>
        </w:rPr>
        <w:t xml:space="preserve"> specifications</w:t>
      </w:r>
    </w:p>
    <w:p w14:paraId="531C398B" w14:textId="6A5B6733" w:rsidR="002351F1" w:rsidRPr="002351F1" w:rsidRDefault="002351F1" w:rsidP="002351F1">
      <w:pPr>
        <w:pStyle w:val="ListParagraph2"/>
        <w:numPr>
          <w:ilvl w:val="0"/>
          <w:numId w:val="0"/>
        </w:numPr>
      </w:pPr>
      <w:r w:rsidRPr="002351F1">
        <w:t>A firm feasibility check is required for each request. Below bandwidths can be provided:</w:t>
      </w:r>
    </w:p>
    <w:p w14:paraId="17644984" w14:textId="62B4A90D" w:rsidR="002351F1" w:rsidRPr="002351F1" w:rsidRDefault="00947B7A" w:rsidP="00A70CD0">
      <w:pPr>
        <w:pStyle w:val="ListParagraph2"/>
        <w:numPr>
          <w:ilvl w:val="2"/>
          <w:numId w:val="17"/>
        </w:numPr>
      </w:pPr>
      <w:r w:rsidRPr="00D45A4F">
        <w:t>1G and</w:t>
      </w:r>
      <w:r>
        <w:t xml:space="preserve"> </w:t>
      </w:r>
      <w:r w:rsidR="002351F1" w:rsidRPr="002351F1">
        <w:t>10G (on a DWDM 10GE LAN &amp; 10GE WAN interface)</w:t>
      </w:r>
    </w:p>
    <w:p w14:paraId="7D65104F" w14:textId="77777777" w:rsidR="002351F1" w:rsidRPr="002351F1" w:rsidRDefault="002351F1" w:rsidP="00A70CD0">
      <w:pPr>
        <w:pStyle w:val="ListParagraph2"/>
        <w:numPr>
          <w:ilvl w:val="2"/>
          <w:numId w:val="17"/>
        </w:numPr>
      </w:pPr>
      <w:r w:rsidRPr="002351F1">
        <w:t>100G (on a DWDM 100GE LAN &amp; OTU4 interface)</w:t>
      </w:r>
    </w:p>
    <w:p w14:paraId="00250819" w14:textId="77777777" w:rsidR="00326AF0" w:rsidRPr="002351F1" w:rsidRDefault="00326AF0" w:rsidP="00326AF0">
      <w:pPr>
        <w:pStyle w:val="ListParagraph2"/>
        <w:numPr>
          <w:ilvl w:val="2"/>
          <w:numId w:val="12"/>
        </w:numPr>
        <w:rPr>
          <w:b/>
          <w:bCs/>
        </w:rPr>
      </w:pPr>
      <w:r w:rsidRPr="002351F1">
        <w:rPr>
          <w:b/>
          <w:bCs/>
        </w:rPr>
        <w:t>Optical Specifications for 10Gbps Interfaces</w:t>
      </w:r>
    </w:p>
    <w:tbl>
      <w:tblPr>
        <w:tblW w:w="3691" w:type="pct"/>
        <w:tblCellMar>
          <w:left w:w="0" w:type="dxa"/>
          <w:right w:w="0" w:type="dxa"/>
        </w:tblCellMar>
        <w:tblLook w:val="04A0" w:firstRow="1" w:lastRow="0" w:firstColumn="1" w:lastColumn="0" w:noHBand="0" w:noVBand="1"/>
      </w:tblPr>
      <w:tblGrid>
        <w:gridCol w:w="2516"/>
        <w:gridCol w:w="4583"/>
      </w:tblGrid>
      <w:tr w:rsidR="002351F1" w:rsidRPr="002351F1" w14:paraId="4B694BD5" w14:textId="77777777" w:rsidTr="00591B5F">
        <w:trPr>
          <w:trHeight w:val="80"/>
        </w:trPr>
        <w:tc>
          <w:tcPr>
            <w:tcW w:w="1772" w:type="pc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43A2B7C" w14:textId="77777777" w:rsidR="002351F1" w:rsidRPr="002351F1" w:rsidRDefault="002351F1" w:rsidP="00A70CD0">
            <w:r w:rsidRPr="002351F1">
              <w:t>Speed</w:t>
            </w:r>
          </w:p>
        </w:tc>
        <w:tc>
          <w:tcPr>
            <w:tcW w:w="3228"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6A32257" w14:textId="77777777" w:rsidR="002351F1" w:rsidRPr="002351F1" w:rsidRDefault="002351F1" w:rsidP="00A70CD0">
            <w:r w:rsidRPr="002351F1">
              <w:t>Interface</w:t>
            </w:r>
          </w:p>
        </w:tc>
      </w:tr>
      <w:tr w:rsidR="002351F1" w:rsidRPr="002351F1" w14:paraId="7917BDA7" w14:textId="77777777" w:rsidTr="00591B5F">
        <w:trPr>
          <w:trHeight w:val="170"/>
        </w:trPr>
        <w:tc>
          <w:tcPr>
            <w:tcW w:w="1772"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8EF742" w14:textId="77777777" w:rsidR="002351F1" w:rsidRPr="002351F1" w:rsidRDefault="002351F1" w:rsidP="00A70CD0">
            <w:r w:rsidRPr="002351F1">
              <w:t>10G</w:t>
            </w:r>
          </w:p>
        </w:tc>
        <w:tc>
          <w:tcPr>
            <w:tcW w:w="3228" w:type="pct"/>
            <w:tcBorders>
              <w:top w:val="nil"/>
              <w:left w:val="nil"/>
              <w:bottom w:val="single" w:sz="8" w:space="0" w:color="auto"/>
              <w:right w:val="single" w:sz="8" w:space="0" w:color="auto"/>
            </w:tcBorders>
            <w:noWrap/>
            <w:tcMar>
              <w:top w:w="0" w:type="dxa"/>
              <w:left w:w="108" w:type="dxa"/>
              <w:bottom w:w="0" w:type="dxa"/>
              <w:right w:w="108" w:type="dxa"/>
            </w:tcMar>
            <w:vAlign w:val="bottom"/>
          </w:tcPr>
          <w:p w14:paraId="04B06065" w14:textId="77777777" w:rsidR="002351F1" w:rsidRPr="002351F1" w:rsidRDefault="002351F1" w:rsidP="00A70CD0">
            <w:r w:rsidRPr="002351F1">
              <w:t>10G LAN PHY 10GBASE-LR,</w:t>
            </w:r>
          </w:p>
          <w:p w14:paraId="18D9DD9E" w14:textId="5B610C79" w:rsidR="002351F1" w:rsidRPr="002351F1" w:rsidRDefault="002351F1" w:rsidP="00326AF0">
            <w:r w:rsidRPr="002351F1">
              <w:t>10GE WAN PHY, OTU2, OTU2e</w:t>
            </w:r>
          </w:p>
        </w:tc>
      </w:tr>
    </w:tbl>
    <w:p w14:paraId="1AB30240" w14:textId="77777777" w:rsidR="002351F1" w:rsidRPr="002351F1" w:rsidRDefault="002351F1" w:rsidP="002351F1">
      <w:pPr>
        <w:pStyle w:val="ListParagraph2"/>
        <w:numPr>
          <w:ilvl w:val="2"/>
          <w:numId w:val="12"/>
        </w:numPr>
        <w:rPr>
          <w:b/>
          <w:bCs/>
        </w:rPr>
      </w:pPr>
      <w:r w:rsidRPr="002351F1">
        <w:rPr>
          <w:b/>
          <w:bCs/>
        </w:rPr>
        <w:t>Optical Specifications for 100Gbps Interfaces</w:t>
      </w:r>
    </w:p>
    <w:tbl>
      <w:tblPr>
        <w:tblW w:w="7100" w:type="dxa"/>
        <w:tblCellMar>
          <w:left w:w="0" w:type="dxa"/>
          <w:right w:w="0" w:type="dxa"/>
        </w:tblCellMar>
        <w:tblLook w:val="04A0" w:firstRow="1" w:lastRow="0" w:firstColumn="1" w:lastColumn="0" w:noHBand="0" w:noVBand="1"/>
      </w:tblPr>
      <w:tblGrid>
        <w:gridCol w:w="2510"/>
        <w:gridCol w:w="4590"/>
      </w:tblGrid>
      <w:tr w:rsidR="00947B7A" w:rsidRPr="002351F1" w14:paraId="5F44164B" w14:textId="77777777" w:rsidTr="00591B5F">
        <w:trPr>
          <w:trHeight w:val="309"/>
        </w:trPr>
        <w:tc>
          <w:tcPr>
            <w:tcW w:w="251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06A0BC4" w14:textId="77777777" w:rsidR="00947B7A" w:rsidRPr="002351F1" w:rsidRDefault="00947B7A" w:rsidP="00326AF0">
            <w:r w:rsidRPr="002351F1">
              <w:t>Interface Code</w:t>
            </w:r>
          </w:p>
        </w:tc>
        <w:tc>
          <w:tcPr>
            <w:tcW w:w="4590" w:type="dxa"/>
            <w:tcBorders>
              <w:top w:val="single" w:sz="8" w:space="0" w:color="000000"/>
              <w:left w:val="nil"/>
              <w:bottom w:val="single" w:sz="8" w:space="0" w:color="000000"/>
              <w:right w:val="single" w:sz="8" w:space="0" w:color="000000"/>
            </w:tcBorders>
            <w:shd w:val="clear" w:color="auto" w:fill="F3F3F3"/>
            <w:tcMar>
              <w:top w:w="100" w:type="dxa"/>
              <w:left w:w="100" w:type="dxa"/>
              <w:bottom w:w="100" w:type="dxa"/>
              <w:right w:w="100" w:type="dxa"/>
            </w:tcMar>
            <w:hideMark/>
          </w:tcPr>
          <w:p w14:paraId="5F525915" w14:textId="77777777" w:rsidR="00947B7A" w:rsidRPr="002351F1" w:rsidRDefault="00947B7A" w:rsidP="00326AF0">
            <w:r w:rsidRPr="002351F1">
              <w:t>Laser Interface Type</w:t>
            </w:r>
          </w:p>
        </w:tc>
      </w:tr>
      <w:tr w:rsidR="00947B7A" w:rsidRPr="002351F1" w14:paraId="377215D8" w14:textId="77777777" w:rsidTr="00591B5F">
        <w:trPr>
          <w:trHeight w:val="309"/>
        </w:trPr>
        <w:tc>
          <w:tcPr>
            <w:tcW w:w="2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2181562" w14:textId="77777777" w:rsidR="00947B7A" w:rsidRPr="002351F1" w:rsidRDefault="00947B7A" w:rsidP="00326AF0">
            <w:r w:rsidRPr="002351F1">
              <w:t>100GE &amp; OTU4</w:t>
            </w:r>
          </w:p>
        </w:tc>
        <w:tc>
          <w:tcPr>
            <w:tcW w:w="4590" w:type="dxa"/>
            <w:tcBorders>
              <w:top w:val="nil"/>
              <w:left w:val="nil"/>
              <w:bottom w:val="single" w:sz="8" w:space="0" w:color="000000"/>
              <w:right w:val="single" w:sz="8" w:space="0" w:color="000000"/>
            </w:tcBorders>
            <w:tcMar>
              <w:top w:w="100" w:type="dxa"/>
              <w:left w:w="100" w:type="dxa"/>
              <w:bottom w:w="100" w:type="dxa"/>
              <w:right w:w="100" w:type="dxa"/>
            </w:tcMar>
            <w:hideMark/>
          </w:tcPr>
          <w:p w14:paraId="00F93E27" w14:textId="77777777" w:rsidR="00947B7A" w:rsidRPr="002351F1" w:rsidRDefault="00947B7A" w:rsidP="00326AF0">
            <w:r w:rsidRPr="002351F1">
              <w:t>100GBASE-LR4 - 1310nm</w:t>
            </w:r>
          </w:p>
        </w:tc>
      </w:tr>
    </w:tbl>
    <w:p w14:paraId="4D8C4B61" w14:textId="77777777" w:rsidR="00001A60" w:rsidRDefault="00001A60" w:rsidP="00326AF0">
      <w:pPr>
        <w:pStyle w:val="ListParagraph2"/>
        <w:numPr>
          <w:ilvl w:val="0"/>
          <w:numId w:val="0"/>
        </w:numPr>
        <w:ind w:left="864"/>
      </w:pPr>
    </w:p>
    <w:p w14:paraId="4CFEBB75" w14:textId="47F6439A" w:rsidR="00E568AD" w:rsidRDefault="007E540A" w:rsidP="007E540A">
      <w:pPr>
        <w:pStyle w:val="Heading1"/>
      </w:pPr>
      <w:bookmarkStart w:id="3" w:name="_Toc219124966"/>
      <w:r>
        <w:lastRenderedPageBreak/>
        <w:t>Transmission</w:t>
      </w:r>
      <w:bookmarkEnd w:id="3"/>
    </w:p>
    <w:p w14:paraId="636A4D12" w14:textId="77777777" w:rsidR="007E540A" w:rsidRDefault="007E540A" w:rsidP="00484E76">
      <w:pPr>
        <w:pStyle w:val="ListParagraph"/>
      </w:pPr>
      <w:proofErr w:type="gramStart"/>
      <w:r>
        <w:t>In order to</w:t>
      </w:r>
      <w:proofErr w:type="gramEnd"/>
      <w:r>
        <w:t xml:space="preserve"> ensure their compatibility with Omantel’s transmission equipment and the observance of quality requirements under this </w:t>
      </w:r>
      <w:r w:rsidR="00484E76">
        <w:t>A</w:t>
      </w:r>
      <w:r>
        <w:t>greement, both Parties</w:t>
      </w:r>
      <w:r w:rsidR="002F532D">
        <w:t>’</w:t>
      </w:r>
      <w:r>
        <w:t xml:space="preserve"> transmission systems must meet the following relevant ITU-T recommendations:</w:t>
      </w:r>
    </w:p>
    <w:p w14:paraId="001B9604" w14:textId="77777777" w:rsidR="007E540A" w:rsidRDefault="007E540A" w:rsidP="008539BA">
      <w:pPr>
        <w:pStyle w:val="ListParagraph2"/>
        <w:numPr>
          <w:ilvl w:val="2"/>
          <w:numId w:val="12"/>
        </w:numPr>
      </w:pPr>
      <w:r>
        <w:t>ITU-T Recommendation G.703, Physical/electrical characteristics of hierarchical digital interfaces.</w:t>
      </w:r>
    </w:p>
    <w:p w14:paraId="3D56CF33" w14:textId="77777777" w:rsidR="007E540A" w:rsidRDefault="007E540A" w:rsidP="008539BA">
      <w:pPr>
        <w:pStyle w:val="ListParagraph2"/>
        <w:numPr>
          <w:ilvl w:val="2"/>
          <w:numId w:val="12"/>
        </w:numPr>
      </w:pPr>
      <w:r>
        <w:t>ITU-T Recommendation G.704, Synchronous frame structures</w:t>
      </w:r>
    </w:p>
    <w:p w14:paraId="4657B6C3" w14:textId="77777777" w:rsidR="007E540A" w:rsidRDefault="007E540A" w:rsidP="008539BA">
      <w:pPr>
        <w:pStyle w:val="ListParagraph2"/>
        <w:numPr>
          <w:ilvl w:val="2"/>
          <w:numId w:val="12"/>
        </w:numPr>
      </w:pPr>
      <w:r>
        <w:t>ITU-T Recommendation G.707, Network node interface for the synchronous digital hierarchy (SDH).</w:t>
      </w:r>
    </w:p>
    <w:p w14:paraId="2E0B39E5" w14:textId="77777777" w:rsidR="007E540A" w:rsidRDefault="007E540A" w:rsidP="008539BA">
      <w:pPr>
        <w:pStyle w:val="ListParagraph2"/>
        <w:numPr>
          <w:ilvl w:val="2"/>
          <w:numId w:val="12"/>
        </w:numPr>
      </w:pPr>
      <w:r>
        <w:t>ITU-T Recommendation G.783, Characteristics of synchronous digital hierarchy (SDH) equipment functional blocks</w:t>
      </w:r>
    </w:p>
    <w:p w14:paraId="7FB8E4F9" w14:textId="77777777" w:rsidR="007E540A" w:rsidRDefault="007E540A" w:rsidP="008539BA">
      <w:pPr>
        <w:pStyle w:val="ListParagraph2"/>
        <w:numPr>
          <w:ilvl w:val="2"/>
          <w:numId w:val="12"/>
        </w:numPr>
      </w:pPr>
      <w:r>
        <w:t>ITU-T Recommendation G.784, Synchronous Digital Hierarchy (SDH) management</w:t>
      </w:r>
    </w:p>
    <w:p w14:paraId="73351C0A" w14:textId="77777777" w:rsidR="007E540A" w:rsidRDefault="007E540A" w:rsidP="008539BA">
      <w:pPr>
        <w:pStyle w:val="ListParagraph2"/>
        <w:numPr>
          <w:ilvl w:val="2"/>
          <w:numId w:val="12"/>
        </w:numPr>
      </w:pPr>
      <w:r>
        <w:t>ITU-T Recommendation G.803, Architecture of transport networks based on the Synchronous Digital Hierarchy (SDH).</w:t>
      </w:r>
    </w:p>
    <w:p w14:paraId="5781A7F0" w14:textId="1C3DC480" w:rsidR="007E540A" w:rsidRDefault="007E540A" w:rsidP="008539BA">
      <w:pPr>
        <w:pStyle w:val="ListParagraph2"/>
        <w:numPr>
          <w:ilvl w:val="2"/>
          <w:numId w:val="12"/>
        </w:numPr>
      </w:pPr>
      <w:r>
        <w:t xml:space="preserve">ITU-T Recommendation G.810, Definitions and terminology for </w:t>
      </w:r>
      <w:r w:rsidR="00CC754C">
        <w:t>synchronization</w:t>
      </w:r>
      <w:r>
        <w:t xml:space="preserve"> networks.</w:t>
      </w:r>
    </w:p>
    <w:p w14:paraId="24148937" w14:textId="77777777" w:rsidR="007E540A" w:rsidRDefault="007E540A" w:rsidP="008539BA">
      <w:pPr>
        <w:pStyle w:val="ListParagraph2"/>
        <w:numPr>
          <w:ilvl w:val="2"/>
          <w:numId w:val="12"/>
        </w:numPr>
      </w:pPr>
      <w:r>
        <w:t>ITU-T Recommendation G.811, Timing requirements of primary reference clocks.</w:t>
      </w:r>
    </w:p>
    <w:p w14:paraId="42E0D374" w14:textId="04D195E5" w:rsidR="007E540A" w:rsidRDefault="007E540A" w:rsidP="008539BA">
      <w:pPr>
        <w:pStyle w:val="ListParagraph2"/>
        <w:numPr>
          <w:ilvl w:val="2"/>
          <w:numId w:val="12"/>
        </w:numPr>
      </w:pPr>
      <w:r>
        <w:t xml:space="preserve">ITU-T Recommendation G.812, Timing requirements of slave clocks suitable for use as node clocks in </w:t>
      </w:r>
      <w:r w:rsidR="00CC754C">
        <w:t>synchronization</w:t>
      </w:r>
      <w:r>
        <w:t xml:space="preserve"> networks.</w:t>
      </w:r>
    </w:p>
    <w:p w14:paraId="461CE620" w14:textId="77777777" w:rsidR="007E540A" w:rsidRDefault="007E540A" w:rsidP="008539BA">
      <w:pPr>
        <w:pStyle w:val="ListParagraph2"/>
        <w:numPr>
          <w:ilvl w:val="2"/>
          <w:numId w:val="12"/>
        </w:numPr>
      </w:pPr>
      <w:r>
        <w:t>ITU-T Recommendation G.813, Timing characteristics of SDH equipment slave clocks (SEC).</w:t>
      </w:r>
    </w:p>
    <w:p w14:paraId="5DB5436C" w14:textId="77777777" w:rsidR="007E540A" w:rsidRDefault="007E540A" w:rsidP="008539BA">
      <w:pPr>
        <w:pStyle w:val="ListParagraph2"/>
        <w:numPr>
          <w:ilvl w:val="2"/>
          <w:numId w:val="12"/>
        </w:numPr>
      </w:pPr>
      <w:r>
        <w:t>ITU-T Recommendation G.821, Error performance of an international digital connection operating at a bit rate below the primary rate and forming part of an integrated services digital network</w:t>
      </w:r>
    </w:p>
    <w:p w14:paraId="0DE8725C" w14:textId="77777777" w:rsidR="007E540A" w:rsidRDefault="007E540A" w:rsidP="008539BA">
      <w:pPr>
        <w:pStyle w:val="ListParagraph2"/>
        <w:numPr>
          <w:ilvl w:val="2"/>
          <w:numId w:val="12"/>
        </w:numPr>
      </w:pPr>
      <w:r>
        <w:lastRenderedPageBreak/>
        <w:t>ITU-T Recommendation G.822, Controlled slip rate objectives on an international digital connection.</w:t>
      </w:r>
    </w:p>
    <w:p w14:paraId="2977EB05" w14:textId="77777777" w:rsidR="007E540A" w:rsidRDefault="007E540A" w:rsidP="008539BA">
      <w:pPr>
        <w:pStyle w:val="ListParagraph2"/>
        <w:numPr>
          <w:ilvl w:val="2"/>
          <w:numId w:val="12"/>
        </w:numPr>
      </w:pPr>
      <w:r>
        <w:t>ITU-T Recommendation G.823, The control of jitter and wander within digital networks which are based on the 2048 kbit/s hierarchy</w:t>
      </w:r>
    </w:p>
    <w:p w14:paraId="787FF01C" w14:textId="77777777" w:rsidR="007E540A" w:rsidRDefault="007E540A" w:rsidP="008539BA">
      <w:pPr>
        <w:pStyle w:val="ListParagraph2"/>
        <w:numPr>
          <w:ilvl w:val="2"/>
          <w:numId w:val="12"/>
        </w:numPr>
      </w:pPr>
      <w:r>
        <w:t>ITU-T Recommendation G.826, Error performance parameters and objectives for international, constant bit rate digital paths at or above the primary rate</w:t>
      </w:r>
    </w:p>
    <w:p w14:paraId="5F2B6572" w14:textId="77777777" w:rsidR="007E540A" w:rsidRPr="007E540A" w:rsidRDefault="007E540A" w:rsidP="008539BA">
      <w:pPr>
        <w:pStyle w:val="ListParagraph2"/>
        <w:numPr>
          <w:ilvl w:val="2"/>
          <w:numId w:val="12"/>
        </w:numPr>
      </w:pPr>
      <w:r>
        <w:t>ITU-T Recommendation G.841, Types and characteristics of SDH network protection architectures.</w:t>
      </w:r>
    </w:p>
    <w:p w14:paraId="1EDFA93F" w14:textId="77777777" w:rsidR="007E540A" w:rsidRDefault="007E540A" w:rsidP="008539BA">
      <w:pPr>
        <w:pStyle w:val="ListParagraph2"/>
        <w:numPr>
          <w:ilvl w:val="2"/>
          <w:numId w:val="12"/>
        </w:numPr>
      </w:pPr>
      <w:r>
        <w:t>ITU-T Recommendation G.957, Optical interfaces for equipment and systems relating to synchronous digital hierarchy.</w:t>
      </w:r>
    </w:p>
    <w:p w14:paraId="056C9FC5" w14:textId="77777777" w:rsidR="007E540A" w:rsidRDefault="007E540A" w:rsidP="008539BA">
      <w:pPr>
        <w:pStyle w:val="ListParagraph2"/>
        <w:numPr>
          <w:ilvl w:val="2"/>
          <w:numId w:val="12"/>
        </w:numPr>
      </w:pPr>
      <w:r>
        <w:t xml:space="preserve">ITU-T Recommendation G.958 Digital line systems based on the synchronous digital hierarchy for use on optical </w:t>
      </w:r>
      <w:r w:rsidR="002F532D">
        <w:t>fiber</w:t>
      </w:r>
      <w:r>
        <w:t xml:space="preserve"> cables.</w:t>
      </w:r>
    </w:p>
    <w:p w14:paraId="3339FFCA" w14:textId="77777777" w:rsidR="007E540A" w:rsidRDefault="007E540A" w:rsidP="008539BA">
      <w:pPr>
        <w:pStyle w:val="ListParagraph2"/>
        <w:numPr>
          <w:ilvl w:val="2"/>
          <w:numId w:val="12"/>
        </w:numPr>
      </w:pPr>
      <w:r>
        <w:t>ITU-T Recommendation G.114 (1996), One-way transmission time</w:t>
      </w:r>
    </w:p>
    <w:p w14:paraId="5316BD33" w14:textId="77777777" w:rsidR="007E540A" w:rsidRDefault="007E540A" w:rsidP="008539BA">
      <w:pPr>
        <w:pStyle w:val="ListParagraph2"/>
        <w:numPr>
          <w:ilvl w:val="2"/>
          <w:numId w:val="12"/>
        </w:numPr>
      </w:pPr>
      <w:r>
        <w:t>ITU-T Recommendation K.27, Bonding Configurations and Earthing inside a telecommunication building.</w:t>
      </w:r>
    </w:p>
    <w:p w14:paraId="2A653F0C" w14:textId="77777777" w:rsidR="007E540A" w:rsidRDefault="002F532D" w:rsidP="008539BA">
      <w:pPr>
        <w:pStyle w:val="ListParagraph2"/>
        <w:numPr>
          <w:ilvl w:val="2"/>
          <w:numId w:val="12"/>
        </w:numPr>
      </w:pPr>
      <w:r>
        <w:t>ITU-T Recommendation</w:t>
      </w:r>
      <w:r w:rsidR="007E540A">
        <w:t xml:space="preserve"> K.35, Bonding Configurations and Earthing </w:t>
      </w:r>
      <w:proofErr w:type="gramStart"/>
      <w:r w:rsidR="007E540A">
        <w:t>At</w:t>
      </w:r>
      <w:proofErr w:type="gramEnd"/>
      <w:r w:rsidR="007E540A">
        <w:t xml:space="preserve"> Remote Electronic Sites</w:t>
      </w:r>
    </w:p>
    <w:p w14:paraId="093069F5" w14:textId="77777777" w:rsidR="007E540A" w:rsidRDefault="007E540A" w:rsidP="008539BA">
      <w:pPr>
        <w:pStyle w:val="ListParagraph2"/>
        <w:numPr>
          <w:ilvl w:val="2"/>
          <w:numId w:val="12"/>
        </w:numPr>
      </w:pPr>
      <w:r>
        <w:t xml:space="preserve">ITU-T Recommendation K.40, Protection against LEMP in telecommunications </w:t>
      </w:r>
      <w:r w:rsidR="002F532D">
        <w:t>centers</w:t>
      </w:r>
    </w:p>
    <w:p w14:paraId="215D9121" w14:textId="77777777" w:rsidR="007E540A" w:rsidRDefault="007E540A" w:rsidP="008539BA">
      <w:pPr>
        <w:pStyle w:val="ListParagraph2"/>
        <w:numPr>
          <w:ilvl w:val="2"/>
          <w:numId w:val="12"/>
        </w:numPr>
      </w:pPr>
      <w:r>
        <w:t xml:space="preserve">ITU-T Recommendation K.41, Resistibility of internal interfaces of telecommunication </w:t>
      </w:r>
      <w:proofErr w:type="spellStart"/>
      <w:r>
        <w:t>centres</w:t>
      </w:r>
      <w:proofErr w:type="spellEnd"/>
      <w:r>
        <w:t xml:space="preserve"> to surge over voltages.</w:t>
      </w:r>
    </w:p>
    <w:p w14:paraId="1D957083" w14:textId="77777777" w:rsidR="007E540A" w:rsidRDefault="007E540A" w:rsidP="008539BA">
      <w:pPr>
        <w:pStyle w:val="ListParagraph2"/>
        <w:numPr>
          <w:ilvl w:val="2"/>
          <w:numId w:val="12"/>
        </w:numPr>
      </w:pPr>
      <w:r>
        <w:t>ITU-T Recommendation M 2110 - Bringing-into-service of international PDH paths, sections and transmission systems and SDH paths and multiplex sections</w:t>
      </w:r>
    </w:p>
    <w:p w14:paraId="090A1D0C" w14:textId="77777777" w:rsidR="000F2080" w:rsidRDefault="000F2080" w:rsidP="002F532D">
      <w:pPr>
        <w:pStyle w:val="ListParagraph"/>
        <w:numPr>
          <w:ilvl w:val="0"/>
          <w:numId w:val="0"/>
        </w:numPr>
        <w:ind w:left="864"/>
      </w:pPr>
    </w:p>
    <w:p w14:paraId="64090576" w14:textId="77777777" w:rsidR="00543EE7" w:rsidRDefault="002F532D" w:rsidP="002F532D">
      <w:pPr>
        <w:pStyle w:val="Heading1"/>
      </w:pPr>
      <w:bookmarkStart w:id="4" w:name="_Toc219124967"/>
      <w:bookmarkStart w:id="5" w:name="_Toc369710411"/>
      <w:r>
        <w:lastRenderedPageBreak/>
        <w:t>Synchronization</w:t>
      </w:r>
      <w:bookmarkEnd w:id="4"/>
    </w:p>
    <w:p w14:paraId="4923713C" w14:textId="2EDC2B9E" w:rsidR="002F532D" w:rsidRDefault="002F532D" w:rsidP="002F532D">
      <w:pPr>
        <w:pStyle w:val="ListParagraph"/>
      </w:pPr>
      <w:r>
        <w:t xml:space="preserve">Both Parties’ systems should be </w:t>
      </w:r>
      <w:r w:rsidR="00CC754C">
        <w:t>synchronized</w:t>
      </w:r>
      <w:r>
        <w:t xml:space="preserve"> with Omantel’s </w:t>
      </w:r>
      <w:r w:rsidR="00484E76">
        <w:t>N</w:t>
      </w:r>
      <w:r>
        <w:t>etwork in the following manner:</w:t>
      </w:r>
    </w:p>
    <w:p w14:paraId="6FBBDDD1" w14:textId="62E19BB8" w:rsidR="002F532D" w:rsidRDefault="002F532D" w:rsidP="002F532D">
      <w:pPr>
        <w:pStyle w:val="ListParagraph2"/>
      </w:pPr>
      <w:r>
        <w:t>According to the “master-slave” principle with Omantel as master, and according to ITU-T Recommendation G.812 from a long-term primary reference standard (</w:t>
      </w:r>
      <w:proofErr w:type="spellStart"/>
      <w:r>
        <w:t>Caesium</w:t>
      </w:r>
      <w:proofErr w:type="spellEnd"/>
      <w:r>
        <w:t xml:space="preserve"> standard) in accordance with ITU-T Recommendation G.811, with a long-term accuracy above 10</w:t>
      </w:r>
      <w:r w:rsidRPr="002F532D">
        <w:t xml:space="preserve">-11 </w:t>
      </w:r>
      <w:r>
        <w:t xml:space="preserve">and comply with ITU-T Recommendation G.823 on jitter and wander or from a GPS </w:t>
      </w:r>
      <w:r w:rsidR="00CC754C">
        <w:t>synchronization</w:t>
      </w:r>
      <w:r>
        <w:t xml:space="preserve"> source meeting ITU-T specification G812.</w:t>
      </w:r>
    </w:p>
    <w:p w14:paraId="15397EA9" w14:textId="29CA0F90" w:rsidR="002F532D" w:rsidRDefault="002F532D" w:rsidP="002F532D">
      <w:pPr>
        <w:pStyle w:val="ListParagraph"/>
      </w:pPr>
      <w:r>
        <w:t xml:space="preserve">Omantel shall provide a </w:t>
      </w:r>
      <w:r w:rsidR="00CC754C">
        <w:t>synchronization</w:t>
      </w:r>
      <w:r>
        <w:t xml:space="preserve"> signal to operators in accordance with ITU-T Recommendation G.703. In normal conditions the 2.048 MHz signal will have a long-term stability above 10</w:t>
      </w:r>
      <w:r>
        <w:rPr>
          <w:szCs w:val="13"/>
        </w:rPr>
        <w:t>-11</w:t>
      </w:r>
      <w:r>
        <w:t xml:space="preserve">. In case of faults in two independent </w:t>
      </w:r>
      <w:r w:rsidR="00CC754C">
        <w:t>synchronization</w:t>
      </w:r>
      <w:r>
        <w:t xml:space="preserve"> paths, the accuracy may drop to hold-over mode but will be better than 4.6: 10</w:t>
      </w:r>
    </w:p>
    <w:p w14:paraId="59BCC3E1" w14:textId="77777777" w:rsidR="00164B8B" w:rsidRPr="00B7536B" w:rsidRDefault="00164B8B" w:rsidP="002F532D">
      <w:pPr>
        <w:pStyle w:val="ListParagraph2"/>
        <w:numPr>
          <w:ilvl w:val="0"/>
          <w:numId w:val="0"/>
        </w:numPr>
        <w:ind w:left="864"/>
      </w:pPr>
    </w:p>
    <w:p w14:paraId="39B36834" w14:textId="77777777" w:rsidR="00164B8B" w:rsidRDefault="00164B8B" w:rsidP="00D6472B">
      <w:pPr>
        <w:pStyle w:val="ListParagraph"/>
        <w:numPr>
          <w:ilvl w:val="0"/>
          <w:numId w:val="0"/>
        </w:numPr>
        <w:ind w:left="864"/>
      </w:pPr>
    </w:p>
    <w:p w14:paraId="32B16816" w14:textId="77777777" w:rsidR="00702A1C" w:rsidRDefault="00684898" w:rsidP="00684898">
      <w:pPr>
        <w:pStyle w:val="Heading1"/>
      </w:pPr>
      <w:bookmarkStart w:id="6" w:name="_Toc219124968"/>
      <w:r>
        <w:lastRenderedPageBreak/>
        <w:t>SS7</w:t>
      </w:r>
      <w:bookmarkEnd w:id="6"/>
    </w:p>
    <w:p w14:paraId="5AF2DB9F" w14:textId="19607B12" w:rsidR="00684898" w:rsidRDefault="00CC754C" w:rsidP="00684898">
      <w:pPr>
        <w:pStyle w:val="ListParagraph"/>
      </w:pPr>
      <w:r>
        <w:t>Signaling</w:t>
      </w:r>
      <w:r w:rsidR="00684898">
        <w:t xml:space="preserve"> system No.7 (SS7), complying with ITU-T and White Book ETSI Version2 standards will be used between both Parties’ </w:t>
      </w:r>
      <w:r w:rsidR="00484E76">
        <w:t>N</w:t>
      </w:r>
      <w:r w:rsidR="00684898">
        <w:t>etwork</w:t>
      </w:r>
      <w:r w:rsidR="00484E76">
        <w:t>s</w:t>
      </w:r>
      <w:r w:rsidR="00684898">
        <w:t xml:space="preserve">. </w:t>
      </w:r>
    </w:p>
    <w:p w14:paraId="31E0557A" w14:textId="1315CFD0" w:rsidR="00684898" w:rsidRDefault="00684898" w:rsidP="00684898">
      <w:pPr>
        <w:pStyle w:val="ListParagraph"/>
      </w:pPr>
      <w:r>
        <w:t>At launch</w:t>
      </w:r>
      <w:r w:rsidR="00484E76">
        <w:t>,</w:t>
      </w:r>
      <w:r>
        <w:t xml:space="preserve"> </w:t>
      </w:r>
      <w:r w:rsidR="00CC754C">
        <w:t>signaling</w:t>
      </w:r>
      <w:r>
        <w:t xml:space="preserve"> interconnection between both Parties will be in the associated mode whereby </w:t>
      </w:r>
      <w:r w:rsidR="00CC754C">
        <w:t>signaling</w:t>
      </w:r>
      <w:r>
        <w:t xml:space="preserve"> channels and traffic channels share the same physical and logical path. </w:t>
      </w:r>
    </w:p>
    <w:p w14:paraId="063C06AF" w14:textId="424D58FC" w:rsidR="00684898" w:rsidRDefault="00684898" w:rsidP="00684898">
      <w:pPr>
        <w:pStyle w:val="ListParagraph"/>
      </w:pPr>
      <w:r>
        <w:t xml:space="preserve">If Omantel subsequently introduces Stand Alone </w:t>
      </w:r>
      <w:r w:rsidR="00CC754C">
        <w:t>Signaling</w:t>
      </w:r>
      <w:r>
        <w:t xml:space="preserve"> Transfer Points (SA-STPs) both </w:t>
      </w:r>
      <w:r w:rsidR="00484E76">
        <w:t>P</w:t>
      </w:r>
      <w:r>
        <w:t xml:space="preserve">arties will meet to agree </w:t>
      </w:r>
      <w:r w:rsidR="00484E76">
        <w:t xml:space="preserve">on </w:t>
      </w:r>
      <w:r>
        <w:t xml:space="preserve">the optimal </w:t>
      </w:r>
      <w:r w:rsidR="00CC754C">
        <w:t>signaling</w:t>
      </w:r>
      <w:r>
        <w:t xml:space="preserve"> solution for interconnection between both </w:t>
      </w:r>
      <w:r w:rsidR="00484E76">
        <w:t>N</w:t>
      </w:r>
      <w:r>
        <w:t>etworks.</w:t>
      </w:r>
    </w:p>
    <w:p w14:paraId="47D9277D" w14:textId="77777777" w:rsidR="005E14BE" w:rsidRPr="005E14BE" w:rsidRDefault="005E14BE" w:rsidP="005E14BE"/>
    <w:p w14:paraId="70CCBDEC" w14:textId="77777777" w:rsidR="00E568AD" w:rsidRPr="00723D2A" w:rsidRDefault="00684898" w:rsidP="00684898">
      <w:pPr>
        <w:pStyle w:val="Heading1"/>
      </w:pPr>
      <w:bookmarkStart w:id="7" w:name="_Ref424542111"/>
      <w:bookmarkStart w:id="8" w:name="_Toc219124969"/>
      <w:r>
        <w:lastRenderedPageBreak/>
        <w:t>SS7 Message Transfer Part</w:t>
      </w:r>
      <w:bookmarkEnd w:id="5"/>
      <w:bookmarkEnd w:id="7"/>
      <w:bookmarkEnd w:id="8"/>
    </w:p>
    <w:p w14:paraId="799F0CEE" w14:textId="77777777" w:rsidR="00684898" w:rsidRDefault="00684898" w:rsidP="0000712E">
      <w:pPr>
        <w:pStyle w:val="ListParagraph"/>
      </w:pPr>
      <w:r>
        <w:t>Message Transfer Part (“MTP”) is based on ITU-T Recommendation Q.701-Q.707 White Book 1993. Oman</w:t>
      </w:r>
      <w:r w:rsidR="0000712E">
        <w:t>tel</w:t>
      </w:r>
      <w:r>
        <w:t xml:space="preserve"> specific implementation is based upon ITU-T Recommendations Q.702, Q.703 and Q.704</w:t>
      </w:r>
    </w:p>
    <w:p w14:paraId="65BFEC96" w14:textId="77777777" w:rsidR="0000712E" w:rsidRDefault="0000712E" w:rsidP="00684898">
      <w:pPr>
        <w:pStyle w:val="Heading1"/>
      </w:pPr>
      <w:bookmarkStart w:id="9" w:name="_Toc219124970"/>
      <w:bookmarkStart w:id="10" w:name="_Toc369710413"/>
      <w:bookmarkStart w:id="11" w:name="_Ref422729783"/>
      <w:bookmarkStart w:id="12" w:name="_Ref422738153"/>
      <w:r>
        <w:lastRenderedPageBreak/>
        <w:t>SS7 ISDN User Part</w:t>
      </w:r>
      <w:bookmarkEnd w:id="9"/>
    </w:p>
    <w:p w14:paraId="0EE42683" w14:textId="3780C893" w:rsidR="0000712E" w:rsidRPr="0000712E" w:rsidRDefault="0000712E">
      <w:pPr>
        <w:pStyle w:val="ListParagraph"/>
      </w:pPr>
      <w:r>
        <w:t>The ISDN User Part (“ISUP”) is based on ITU-T Recommendation Q761-Q764 and Q850 White Book 1993 as well as ETSI ETS 300 356-1, 1995 (ETSI ISUP Ver. 2). The details of Omantel’s implementation and the supported procedures shall be made available by Omantel</w:t>
      </w:r>
      <w:r w:rsidR="00AC294F">
        <w:t xml:space="preserve"> at the time of executing the agreement and if it is required</w:t>
      </w:r>
      <w:r>
        <w:t>.</w:t>
      </w:r>
    </w:p>
    <w:p w14:paraId="61A63845" w14:textId="77777777" w:rsidR="00E568AD" w:rsidRPr="0040704D" w:rsidRDefault="00684898" w:rsidP="00684898">
      <w:pPr>
        <w:pStyle w:val="Heading1"/>
      </w:pPr>
      <w:bookmarkStart w:id="13" w:name="_Toc219124971"/>
      <w:r>
        <w:lastRenderedPageBreak/>
        <w:t>Short Message Service (SMS)</w:t>
      </w:r>
      <w:bookmarkEnd w:id="13"/>
      <w:r>
        <w:t xml:space="preserve"> </w:t>
      </w:r>
      <w:bookmarkEnd w:id="10"/>
      <w:bookmarkEnd w:id="11"/>
      <w:bookmarkEnd w:id="12"/>
    </w:p>
    <w:p w14:paraId="40C99040" w14:textId="1D62E7F6" w:rsidR="00684898" w:rsidRDefault="00684898" w:rsidP="00205935">
      <w:pPr>
        <w:pStyle w:val="ListParagraph"/>
      </w:pPr>
      <w:r>
        <w:t xml:space="preserve">Both Parties will establish SMS interconnection through the SS7 </w:t>
      </w:r>
      <w:r w:rsidR="00CC754C">
        <w:t>signaling</w:t>
      </w:r>
      <w:r>
        <w:t xml:space="preserve"> interconnection links between </w:t>
      </w:r>
      <w:r w:rsidR="003B6DC0">
        <w:t xml:space="preserve">the Requesting Party and </w:t>
      </w:r>
      <w:r>
        <w:t>Oman</w:t>
      </w:r>
      <w:r w:rsidR="003B6DC0">
        <w:t xml:space="preserve">tel </w:t>
      </w:r>
      <w:r w:rsidR="0000712E">
        <w:t>Network</w:t>
      </w:r>
      <w:r w:rsidR="003B6DC0">
        <w:t>.</w:t>
      </w:r>
    </w:p>
    <w:p w14:paraId="0FAFB148" w14:textId="77777777" w:rsidR="00684898" w:rsidRDefault="00684898" w:rsidP="00205935">
      <w:pPr>
        <w:pStyle w:val="ListParagraph"/>
      </w:pPr>
      <w:r>
        <w:t xml:space="preserve">SMS </w:t>
      </w:r>
      <w:proofErr w:type="gramStart"/>
      <w:r>
        <w:t>routing</w:t>
      </w:r>
      <w:proofErr w:type="gramEnd"/>
      <w:r>
        <w:t xml:space="preserve"> from </w:t>
      </w:r>
      <w:r w:rsidR="003B6DC0">
        <w:t xml:space="preserve">the Requesting Party </w:t>
      </w:r>
      <w:r>
        <w:t>to Oman</w:t>
      </w:r>
      <w:r w:rsidR="003B6DC0">
        <w:t xml:space="preserve">tel Network </w:t>
      </w:r>
      <w:r>
        <w:t xml:space="preserve">will be part of SS7 </w:t>
      </w:r>
      <w:proofErr w:type="gramStart"/>
      <w:r>
        <w:t>routing</w:t>
      </w:r>
      <w:proofErr w:type="gramEnd"/>
      <w:r>
        <w:t xml:space="preserve">, which is based on load sharing towards </w:t>
      </w:r>
      <w:r w:rsidR="009D1B2C">
        <w:t>Omantel</w:t>
      </w:r>
      <w:r w:rsidR="00484E76">
        <w:t>’s</w:t>
      </w:r>
      <w:r w:rsidR="009D1B2C">
        <w:t xml:space="preserve"> </w:t>
      </w:r>
      <w:r w:rsidR="0000712E">
        <w:t>Network</w:t>
      </w:r>
      <w:r w:rsidR="003B6DC0">
        <w:t>.</w:t>
      </w:r>
    </w:p>
    <w:p w14:paraId="6230DC50" w14:textId="77777777" w:rsidR="00E568AD" w:rsidRPr="00A42B56" w:rsidRDefault="00E568AD" w:rsidP="00E568AD"/>
    <w:p w14:paraId="2023DB0C" w14:textId="160C8E00" w:rsidR="004F0D51" w:rsidRPr="00440C63" w:rsidRDefault="007103D6" w:rsidP="004F0D51">
      <w:pPr>
        <w:pStyle w:val="Heading1"/>
      </w:pPr>
      <w:bookmarkStart w:id="14" w:name="_Toc219124972"/>
      <w:proofErr w:type="gramStart"/>
      <w:r w:rsidRPr="00440C63">
        <w:lastRenderedPageBreak/>
        <w:t>S</w:t>
      </w:r>
      <w:r w:rsidR="004F0D51" w:rsidRPr="00440C63">
        <w:t xml:space="preserve">IP </w:t>
      </w:r>
      <w:r w:rsidRPr="00440C63">
        <w:t>based</w:t>
      </w:r>
      <w:proofErr w:type="gramEnd"/>
      <w:r w:rsidRPr="00440C63">
        <w:t xml:space="preserve"> </w:t>
      </w:r>
      <w:r w:rsidR="00E443B2" w:rsidRPr="00440C63">
        <w:t xml:space="preserve">Interconnection </w:t>
      </w:r>
      <w:r w:rsidR="004F0D51" w:rsidRPr="00440C63">
        <w:t>Services</w:t>
      </w:r>
      <w:bookmarkEnd w:id="14"/>
    </w:p>
    <w:p w14:paraId="7AD677D5" w14:textId="77777777" w:rsidR="004F0D51" w:rsidRPr="00440C63" w:rsidRDefault="004F0D51" w:rsidP="003005CB"/>
    <w:p w14:paraId="3C118B21" w14:textId="543F71A6" w:rsidR="00631718" w:rsidRPr="00440C63" w:rsidRDefault="00593042" w:rsidP="00631718">
      <w:pPr>
        <w:pStyle w:val="ListParagraph"/>
      </w:pPr>
      <w:r w:rsidRPr="00440C63">
        <w:t xml:space="preserve">SIP based interconnection services will be available after 1 year from the issuance of RAIO Review Decision. </w:t>
      </w:r>
    </w:p>
    <w:p w14:paraId="0BE79A74" w14:textId="6111D43C" w:rsidR="00631718" w:rsidRPr="00440C63" w:rsidRDefault="00B55C88" w:rsidP="00631718">
      <w:pPr>
        <w:pStyle w:val="ListParagraph"/>
      </w:pPr>
      <w:r w:rsidRPr="00440C63">
        <w:t>Technical specifications of SIP-based interconnection services shall be developed by Omantel in coordination with the industry and appended to this section.</w:t>
      </w:r>
    </w:p>
    <w:p w14:paraId="5FAB4667" w14:textId="5511CABF" w:rsidR="00101F37" w:rsidRPr="0040704D" w:rsidRDefault="00101F37" w:rsidP="00101F37">
      <w:pPr>
        <w:pStyle w:val="Heading1"/>
      </w:pPr>
      <w:bookmarkStart w:id="15" w:name="_Toc219124973"/>
      <w:r>
        <w:lastRenderedPageBreak/>
        <w:t>The Re</w:t>
      </w:r>
      <w:r w:rsidR="00B81515">
        <w:t xml:space="preserve">questing Party and </w:t>
      </w:r>
      <w:proofErr w:type="gramStart"/>
      <w:r w:rsidR="00B81515">
        <w:t>his</w:t>
      </w:r>
      <w:proofErr w:type="gramEnd"/>
      <w:r w:rsidR="00B81515">
        <w:t xml:space="preserve"> Customer</w:t>
      </w:r>
      <w:r>
        <w:t>s</w:t>
      </w:r>
      <w:r w:rsidR="00B81515">
        <w:t>’</w:t>
      </w:r>
      <w:r>
        <w:t xml:space="preserve"> equipment</w:t>
      </w:r>
      <w:bookmarkEnd w:id="15"/>
    </w:p>
    <w:p w14:paraId="48B8B994" w14:textId="7EC10A91" w:rsidR="00101F37" w:rsidRPr="00AF5E74" w:rsidRDefault="005F7DC9" w:rsidP="00043E94">
      <w:pPr>
        <w:pStyle w:val="ListParagraph"/>
      </w:pPr>
      <w:r>
        <w:t xml:space="preserve">The type approvals of the </w:t>
      </w:r>
      <w:r w:rsidR="00B81515" w:rsidRPr="00AF5E74">
        <w:t>end-c</w:t>
      </w:r>
      <w:r w:rsidR="00101F37" w:rsidRPr="00AF5E74">
        <w:t>ustomer equipment such as but no</w:t>
      </w:r>
      <w:r w:rsidR="00BE3C1A" w:rsidRPr="00AF5E74">
        <w:t>t</w:t>
      </w:r>
      <w:r w:rsidR="00101F37" w:rsidRPr="00AF5E74">
        <w:t xml:space="preserve"> limited to </w:t>
      </w:r>
      <w:r w:rsidR="00B81515" w:rsidRPr="00AF5E74">
        <w:t>customer premises equipment (</w:t>
      </w:r>
      <w:r w:rsidR="00101F37" w:rsidRPr="00AF5E74">
        <w:t>CPE</w:t>
      </w:r>
      <w:r w:rsidR="00B81515" w:rsidRPr="00AF5E74">
        <w:t>)</w:t>
      </w:r>
      <w:r w:rsidR="00101F37" w:rsidRPr="00AF5E74">
        <w:t xml:space="preserve">, modems, mobile handsets, computers and tablets </w:t>
      </w:r>
      <w:r>
        <w:t>is outside the scope of the responsibility of Omantel</w:t>
      </w:r>
      <w:r w:rsidR="00101F37" w:rsidRPr="00AF5E74">
        <w:t xml:space="preserve"> and shall be</w:t>
      </w:r>
      <w:r w:rsidR="00043E94">
        <w:t xml:space="preserve"> </w:t>
      </w:r>
      <w:r w:rsidR="00043E94" w:rsidRPr="00043E94">
        <w:t>approved by the Authority.</w:t>
      </w:r>
    </w:p>
    <w:p w14:paraId="058299C8" w14:textId="5982F43D" w:rsidR="00101F37" w:rsidRPr="00AF5E74" w:rsidRDefault="00101F37" w:rsidP="00DC4186">
      <w:pPr>
        <w:pStyle w:val="ListParagraph"/>
      </w:pPr>
      <w:r w:rsidRPr="00AF5E74">
        <w:t>The Requesting Party equipment such as but no</w:t>
      </w:r>
      <w:r w:rsidR="00BE3C1A" w:rsidRPr="00AF5E74">
        <w:t>t</w:t>
      </w:r>
      <w:r w:rsidRPr="00AF5E74">
        <w:t xml:space="preserve"> limited to </w:t>
      </w:r>
      <w:r w:rsidR="00BE3C1A" w:rsidRPr="00AF5E74">
        <w:t xml:space="preserve">DSLAM, </w:t>
      </w:r>
      <w:r w:rsidRPr="00AF5E74">
        <w:t>M</w:t>
      </w:r>
      <w:r w:rsidR="00B81515" w:rsidRPr="00AF5E74">
        <w:t>SA</w:t>
      </w:r>
      <w:r w:rsidRPr="00AF5E74">
        <w:t xml:space="preserve">N, Switch, IN Platform and Nodes shall be type approved by the </w:t>
      </w:r>
      <w:r w:rsidR="00B81515" w:rsidRPr="00AF5E74">
        <w:t>A</w:t>
      </w:r>
      <w:r w:rsidRPr="00AF5E74">
        <w:t>uthorit</w:t>
      </w:r>
      <w:r w:rsidR="00BE3C1A" w:rsidRPr="00AF5E74">
        <w:t>y</w:t>
      </w:r>
      <w:r w:rsidR="00DC4186">
        <w:t>.</w:t>
      </w:r>
    </w:p>
    <w:p w14:paraId="6E9EE9E3" w14:textId="299C92A8" w:rsidR="00101F37" w:rsidRPr="00AF5E74" w:rsidRDefault="00101F37" w:rsidP="00B81515">
      <w:pPr>
        <w:pStyle w:val="ListParagraph"/>
      </w:pPr>
      <w:r w:rsidRPr="00AF5E74">
        <w:t xml:space="preserve">Omantel has the right to </w:t>
      </w:r>
      <w:r w:rsidR="00B81515" w:rsidRPr="00AF5E74">
        <w:t xml:space="preserve">suspend </w:t>
      </w:r>
      <w:r w:rsidRPr="00AF5E74">
        <w:t xml:space="preserve">any </w:t>
      </w:r>
      <w:r w:rsidR="00B81515" w:rsidRPr="00AF5E74">
        <w:t>S</w:t>
      </w:r>
      <w:r w:rsidRPr="00AF5E74">
        <w:t xml:space="preserve">ervice with immediate effect if the </w:t>
      </w:r>
      <w:r w:rsidR="00BE3C1A" w:rsidRPr="00AF5E74">
        <w:t xml:space="preserve">Requesting Party </w:t>
      </w:r>
      <w:r w:rsidR="00B81515" w:rsidRPr="00AF5E74">
        <w:t>and/</w:t>
      </w:r>
      <w:r w:rsidRPr="00AF5E74">
        <w:t xml:space="preserve">or </w:t>
      </w:r>
      <w:r w:rsidR="00335941" w:rsidRPr="00AF5E74">
        <w:t xml:space="preserve">its </w:t>
      </w:r>
      <w:r w:rsidR="00B81515" w:rsidRPr="00AF5E74">
        <w:t>end-c</w:t>
      </w:r>
      <w:r w:rsidRPr="00AF5E74">
        <w:t>ustomers are in breach of the above.</w:t>
      </w:r>
    </w:p>
    <w:p w14:paraId="50BDBC9C" w14:textId="3AFB05E9" w:rsidR="00101F37" w:rsidRDefault="00101F37" w:rsidP="00861B43">
      <w:pPr>
        <w:pStyle w:val="ListParagraph"/>
      </w:pPr>
      <w:r>
        <w:t xml:space="preserve">The Requesting Party shall </w:t>
      </w:r>
      <w:r w:rsidR="00B81515">
        <w:t xml:space="preserve">compensate </w:t>
      </w:r>
      <w:r>
        <w:t xml:space="preserve">Omantel </w:t>
      </w:r>
      <w:r w:rsidR="00B81515">
        <w:t xml:space="preserve">for </w:t>
      </w:r>
      <w:r>
        <w:t>all cost</w:t>
      </w:r>
      <w:r w:rsidR="00B81515">
        <w:t xml:space="preserve">s incurred for rectifying </w:t>
      </w:r>
      <w:proofErr w:type="gramStart"/>
      <w:r>
        <w:t>fault</w:t>
      </w:r>
      <w:r w:rsidR="00BE3C1A">
        <w:t>s</w:t>
      </w:r>
      <w:r>
        <w:t xml:space="preserve">, </w:t>
      </w:r>
      <w:r w:rsidR="00B81515">
        <w:t>and</w:t>
      </w:r>
      <w:proofErr w:type="gramEnd"/>
      <w:r w:rsidR="00B81515">
        <w:t xml:space="preserve"> </w:t>
      </w:r>
      <w:r>
        <w:t>errors</w:t>
      </w:r>
      <w:r w:rsidR="00B81515">
        <w:t xml:space="preserve"> and remedy </w:t>
      </w:r>
      <w:r>
        <w:t>damage</w:t>
      </w:r>
      <w:r w:rsidR="00BE3C1A">
        <w:t>s</w:t>
      </w:r>
      <w:r>
        <w:t xml:space="preserve"> </w:t>
      </w:r>
      <w:r w:rsidR="00B81515">
        <w:t xml:space="preserve">due </w:t>
      </w:r>
      <w:r>
        <w:t>to the breach</w:t>
      </w:r>
      <w:r w:rsidR="00861B43" w:rsidRPr="00861B43">
        <w:t xml:space="preserve"> </w:t>
      </w:r>
      <w:proofErr w:type="gramStart"/>
      <w:r w:rsidR="00861B43" w:rsidRPr="00861B43">
        <w:t>For</w:t>
      </w:r>
      <w:proofErr w:type="gramEnd"/>
      <w:r w:rsidR="00861B43" w:rsidRPr="00861B43">
        <w:t xml:space="preserve"> the avoidance of doubt, this shall not include damages incurred by third parties.</w:t>
      </w:r>
    </w:p>
    <w:p w14:paraId="598B75C6" w14:textId="77777777" w:rsidR="00101F37" w:rsidRDefault="00101F37" w:rsidP="00AF5E74">
      <w:pPr>
        <w:pStyle w:val="ListParagraph"/>
        <w:numPr>
          <w:ilvl w:val="0"/>
          <w:numId w:val="0"/>
        </w:numPr>
        <w:ind w:left="864"/>
      </w:pPr>
    </w:p>
    <w:p w14:paraId="44D5F881" w14:textId="189F46CE" w:rsidR="00101F37" w:rsidRDefault="00101F37" w:rsidP="00101F37">
      <w:pPr>
        <w:pStyle w:val="ListParagraph"/>
        <w:numPr>
          <w:ilvl w:val="0"/>
          <w:numId w:val="0"/>
        </w:numPr>
        <w:ind w:left="864"/>
      </w:pPr>
    </w:p>
    <w:sectPr w:rsidR="00101F37"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57B7" w14:textId="77777777" w:rsidR="001267F3" w:rsidRDefault="001267F3">
      <w:r>
        <w:separator/>
      </w:r>
    </w:p>
    <w:p w14:paraId="61ABDA33" w14:textId="77777777" w:rsidR="001267F3" w:rsidRDefault="001267F3"/>
  </w:endnote>
  <w:endnote w:type="continuationSeparator" w:id="0">
    <w:p w14:paraId="352EB4A5" w14:textId="77777777" w:rsidR="001267F3" w:rsidRDefault="001267F3">
      <w:r>
        <w:continuationSeparator/>
      </w:r>
    </w:p>
    <w:p w14:paraId="5BD4EEF0" w14:textId="77777777" w:rsidR="001267F3" w:rsidRDefault="00126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6EB3" w14:textId="788FC5C5" w:rsidR="007459D1" w:rsidRDefault="00CB3CD4">
    <w:pPr>
      <w:pStyle w:val="Footer"/>
    </w:pPr>
    <w:r>
      <w:rPr>
        <w:noProof/>
      </w:rPr>
      <mc:AlternateContent>
        <mc:Choice Requires="wps">
          <w:drawing>
            <wp:anchor distT="0" distB="0" distL="114300" distR="114300" simplePos="0" relativeHeight="251658246" behindDoc="0" locked="0" layoutInCell="1" allowOverlap="1" wp14:anchorId="1054E581" wp14:editId="67F9E33F">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42CBC"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7459D1">
      <w:rPr>
        <w:noProof/>
      </w:rPr>
      <w:drawing>
        <wp:anchor distT="0" distB="0" distL="114300" distR="114300" simplePos="0" relativeHeight="251658245" behindDoc="0" locked="0" layoutInCell="1" allowOverlap="1" wp14:anchorId="23F54388" wp14:editId="132C7EB1">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2D050E50" wp14:editId="791B8874">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200D80"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3602EDE0" wp14:editId="4E7C5287">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B6E74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7459D1">
      <w:rPr>
        <w:noProof/>
      </w:rPr>
      <w:drawing>
        <wp:inline distT="0" distB="0" distL="0" distR="0" wp14:anchorId="296C89E9" wp14:editId="43F379D3">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9346" w14:textId="77777777" w:rsidR="007459D1" w:rsidRDefault="007459D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1733C491" w14:textId="77777777" w:rsidR="007459D1" w:rsidRPr="0081597A" w:rsidRDefault="007459D1"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7E" w14:textId="1485F9B5" w:rsidR="007459D1" w:rsidRDefault="007459D1"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1232E7" w:rsidRPr="002A3A70">
      <w:rPr>
        <w:sz w:val="16"/>
        <w:szCs w:val="16"/>
      </w:rPr>
      <w:fldChar w:fldCharType="begin"/>
    </w:r>
    <w:r w:rsidRPr="002A3A70">
      <w:rPr>
        <w:sz w:val="16"/>
        <w:szCs w:val="16"/>
      </w:rPr>
      <w:instrText xml:space="preserve"> PAGE </w:instrText>
    </w:r>
    <w:r w:rsidR="001232E7" w:rsidRPr="002A3A70">
      <w:rPr>
        <w:sz w:val="16"/>
        <w:szCs w:val="16"/>
      </w:rPr>
      <w:fldChar w:fldCharType="separate"/>
    </w:r>
    <w:r w:rsidR="00047839">
      <w:rPr>
        <w:noProof/>
        <w:sz w:val="16"/>
        <w:szCs w:val="16"/>
      </w:rPr>
      <w:t>15</w:t>
    </w:r>
    <w:r w:rsidR="001232E7" w:rsidRPr="002A3A70">
      <w:rPr>
        <w:sz w:val="16"/>
        <w:szCs w:val="16"/>
      </w:rPr>
      <w:fldChar w:fldCharType="end"/>
    </w:r>
    <w:r w:rsidRPr="002A3A70">
      <w:rPr>
        <w:sz w:val="16"/>
        <w:szCs w:val="16"/>
      </w:rPr>
      <w:t xml:space="preserve"> of </w:t>
    </w:r>
    <w:r w:rsidR="001232E7" w:rsidRPr="002A3A70">
      <w:rPr>
        <w:sz w:val="16"/>
        <w:szCs w:val="16"/>
      </w:rPr>
      <w:fldChar w:fldCharType="begin"/>
    </w:r>
    <w:r w:rsidRPr="002A3A70">
      <w:rPr>
        <w:sz w:val="16"/>
        <w:szCs w:val="16"/>
      </w:rPr>
      <w:instrText xml:space="preserve"> NUMPAGES </w:instrText>
    </w:r>
    <w:r w:rsidR="001232E7" w:rsidRPr="002A3A70">
      <w:rPr>
        <w:sz w:val="16"/>
        <w:szCs w:val="16"/>
      </w:rPr>
      <w:fldChar w:fldCharType="separate"/>
    </w:r>
    <w:r w:rsidR="00047839">
      <w:rPr>
        <w:noProof/>
        <w:sz w:val="16"/>
        <w:szCs w:val="16"/>
      </w:rPr>
      <w:t>16</w:t>
    </w:r>
    <w:r w:rsidR="001232E7" w:rsidRPr="002A3A70">
      <w:rPr>
        <w:sz w:val="16"/>
        <w:szCs w:val="16"/>
      </w:rPr>
      <w:fldChar w:fldCharType="end"/>
    </w:r>
  </w:p>
  <w:p w14:paraId="32105699" w14:textId="77777777" w:rsidR="007459D1" w:rsidRPr="002A3A70" w:rsidRDefault="007459D1" w:rsidP="002A3A70">
    <w:pPr>
      <w:pStyle w:val="Footer"/>
      <w:tabs>
        <w:tab w:val="clear" w:pos="9700"/>
        <w:tab w:val="right" w:pos="10206"/>
      </w:tabs>
      <w:ind w:left="-993"/>
      <w:rPr>
        <w:sz w:val="16"/>
        <w:szCs w:val="16"/>
      </w:rPr>
    </w:pPr>
  </w:p>
  <w:p w14:paraId="37D70798" w14:textId="77777777" w:rsidR="007459D1" w:rsidRDefault="007459D1" w:rsidP="002A3A70">
    <w:pPr>
      <w:pStyle w:val="Footer"/>
      <w:ind w:left="-993"/>
    </w:pPr>
    <w:r>
      <w:rPr>
        <w:noProof/>
      </w:rPr>
      <w:drawing>
        <wp:anchor distT="0" distB="0" distL="114300" distR="114300" simplePos="0" relativeHeight="251658242" behindDoc="1" locked="0" layoutInCell="1" allowOverlap="1" wp14:anchorId="71978D39" wp14:editId="5E11BEF6">
          <wp:simplePos x="0" y="0"/>
          <wp:positionH relativeFrom="column">
            <wp:posOffset>-966470</wp:posOffset>
          </wp:positionH>
          <wp:positionV relativeFrom="paragraph">
            <wp:posOffset>32385</wp:posOffset>
          </wp:positionV>
          <wp:extent cx="7597775" cy="311150"/>
          <wp:effectExtent l="0" t="0" r="0" b="0"/>
          <wp:wrapNone/>
          <wp:docPr id="25" name="Picture 25"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4F4B2E28" w14:textId="77777777" w:rsidR="007459D1" w:rsidRPr="001C7F23" w:rsidRDefault="007459D1"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BE8C" w14:textId="77777777" w:rsidR="007459D1" w:rsidRDefault="007459D1" w:rsidP="0029357C">
    <w:pPr>
      <w:pStyle w:val="Footer"/>
    </w:pPr>
    <w:r>
      <w:t>&lt;</w:t>
    </w:r>
    <w:r w:rsidR="00FD44F1">
      <w:t>Customer</w:t>
    </w:r>
    <w:r>
      <w:t xml:space="preserve"> Name&gt; &lt;</w:t>
    </w:r>
    <w:r w:rsidR="00FD44F1">
      <w:t>Customer</w:t>
    </w:r>
    <w:r>
      <w:t xml:space="preserve"> Project Title&gt; </w:t>
    </w:r>
  </w:p>
  <w:p w14:paraId="6796F9CB" w14:textId="4A04E746" w:rsidR="007459D1" w:rsidRDefault="007459D1"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1232E7">
      <w:fldChar w:fldCharType="begin"/>
    </w:r>
    <w:r>
      <w:instrText xml:space="preserve"> PAGE </w:instrText>
    </w:r>
    <w:r w:rsidR="001232E7">
      <w:fldChar w:fldCharType="separate"/>
    </w:r>
    <w:r>
      <w:rPr>
        <w:noProof/>
      </w:rPr>
      <w:t>3</w:t>
    </w:r>
    <w:r w:rsidR="001232E7">
      <w:fldChar w:fldCharType="end"/>
    </w:r>
    <w:r>
      <w:t xml:space="preserve"> of </w:t>
    </w:r>
    <w:r w:rsidR="004F31DA">
      <w:fldChar w:fldCharType="begin"/>
    </w:r>
    <w:r w:rsidR="004F31DA">
      <w:instrText xml:space="preserve"> NUMPAGES </w:instrText>
    </w:r>
    <w:r w:rsidR="004F31DA">
      <w:fldChar w:fldCharType="separate"/>
    </w:r>
    <w:r w:rsidR="00D10949">
      <w:rPr>
        <w:noProof/>
      </w:rPr>
      <w:t>15</w:t>
    </w:r>
    <w:r w:rsidR="004F31DA">
      <w:rPr>
        <w:noProof/>
      </w:rPr>
      <w:fldChar w:fldCharType="end"/>
    </w:r>
  </w:p>
  <w:p w14:paraId="25F9C12E" w14:textId="77777777" w:rsidR="007459D1" w:rsidRPr="0081597A" w:rsidRDefault="007459D1" w:rsidP="0029357C">
    <w:pPr>
      <w:pStyle w:val="Footer"/>
    </w:pPr>
  </w:p>
  <w:p w14:paraId="7974D2C8" w14:textId="77777777" w:rsidR="007459D1" w:rsidRDefault="007459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A3A6" w14:textId="77777777" w:rsidR="001267F3" w:rsidRDefault="001267F3">
      <w:r>
        <w:separator/>
      </w:r>
    </w:p>
    <w:p w14:paraId="4A02EBF9" w14:textId="77777777" w:rsidR="001267F3" w:rsidRDefault="001267F3"/>
  </w:footnote>
  <w:footnote w:type="continuationSeparator" w:id="0">
    <w:p w14:paraId="08CCA979" w14:textId="77777777" w:rsidR="001267F3" w:rsidRDefault="001267F3">
      <w:r>
        <w:continuationSeparator/>
      </w:r>
    </w:p>
    <w:p w14:paraId="2E8E3B55" w14:textId="77777777" w:rsidR="001267F3" w:rsidRDefault="00126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9221" w14:textId="77777777" w:rsidR="007459D1" w:rsidRPr="00506286" w:rsidRDefault="007459D1">
    <w:pPr>
      <w:rPr>
        <w:szCs w:val="18"/>
      </w:rPr>
    </w:pPr>
    <w:r>
      <w:rPr>
        <w:noProof/>
        <w:szCs w:val="18"/>
      </w:rPr>
      <w:drawing>
        <wp:anchor distT="0" distB="0" distL="114300" distR="114300" simplePos="0" relativeHeight="251658241" behindDoc="1" locked="0" layoutInCell="1" allowOverlap="1" wp14:anchorId="6E9566BF" wp14:editId="74939815">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A0DE" w14:textId="77777777" w:rsidR="007459D1" w:rsidRDefault="007459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1306" w14:textId="77777777" w:rsidR="007459D1" w:rsidRDefault="007459D1">
    <w:pPr>
      <w:rPr>
        <w:sz w:val="16"/>
        <w:szCs w:val="16"/>
      </w:rPr>
    </w:pPr>
  </w:p>
  <w:p w14:paraId="7171BB06" w14:textId="77777777" w:rsidR="007459D1" w:rsidRDefault="007459D1" w:rsidP="00C451C2">
    <w:pPr>
      <w:rPr>
        <w:sz w:val="16"/>
        <w:szCs w:val="16"/>
      </w:rPr>
    </w:pPr>
    <w:r>
      <w:rPr>
        <w:noProof/>
        <w:sz w:val="16"/>
        <w:szCs w:val="16"/>
      </w:rPr>
      <w:drawing>
        <wp:anchor distT="0" distB="0" distL="114300" distR="114300" simplePos="0" relativeHeight="251658247" behindDoc="0" locked="0" layoutInCell="1" allowOverlap="1" wp14:anchorId="5D3E50A4" wp14:editId="3AA89CE3">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w:t>
    </w:r>
    <w:r w:rsidR="00B36DC2">
      <w:rPr>
        <w:sz w:val="16"/>
        <w:szCs w:val="16"/>
      </w:rPr>
      <w:t>ion</w:t>
    </w:r>
    <w:r>
      <w:rPr>
        <w:sz w:val="16"/>
        <w:szCs w:val="16"/>
      </w:rPr>
      <w:t xml:space="preserve"> Offer</w:t>
    </w:r>
  </w:p>
  <w:p w14:paraId="3320BA1C" w14:textId="77777777" w:rsidR="007459D1" w:rsidRPr="006808BE" w:rsidRDefault="000156FC" w:rsidP="000156FC">
    <w:pPr>
      <w:rPr>
        <w:szCs w:val="18"/>
      </w:rPr>
    </w:pPr>
    <w:r>
      <w:rPr>
        <w:sz w:val="16"/>
        <w:szCs w:val="16"/>
      </w:rPr>
      <w:t>Annex</w:t>
    </w:r>
    <w:r w:rsidR="007459D1">
      <w:rPr>
        <w:sz w:val="16"/>
        <w:szCs w:val="16"/>
      </w:rPr>
      <w:t xml:space="preserve"> </w:t>
    </w:r>
    <w:r>
      <w:rPr>
        <w:sz w:val="16"/>
        <w:szCs w:val="16"/>
      </w:rPr>
      <w:t xml:space="preserve">E </w:t>
    </w:r>
    <w:r w:rsidR="007459D1">
      <w:rPr>
        <w:sz w:val="16"/>
        <w:szCs w:val="16"/>
      </w:rPr>
      <w:t>_</w:t>
    </w:r>
    <w:r>
      <w:rPr>
        <w:sz w:val="16"/>
        <w:szCs w:val="16"/>
      </w:rPr>
      <w:t xml:space="preserve"> Technical Specification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CC97" w14:textId="77777777" w:rsidR="007459D1" w:rsidRPr="006808BE" w:rsidRDefault="007459D1" w:rsidP="0029357C">
    <w:pPr>
      <w:rPr>
        <w:szCs w:val="18"/>
      </w:rPr>
    </w:pPr>
  </w:p>
  <w:p w14:paraId="7DC69591" w14:textId="77777777" w:rsidR="007459D1" w:rsidRPr="00506286" w:rsidRDefault="007459D1" w:rsidP="0029357C"/>
  <w:p w14:paraId="4664DE47" w14:textId="77777777" w:rsidR="007459D1" w:rsidRPr="00506286" w:rsidRDefault="007459D1" w:rsidP="0029357C"/>
  <w:p w14:paraId="26B01459" w14:textId="77777777" w:rsidR="007459D1" w:rsidRPr="00506286" w:rsidRDefault="007459D1" w:rsidP="0029357C"/>
  <w:p w14:paraId="4C0969E8" w14:textId="77777777" w:rsidR="007459D1" w:rsidRPr="00506286" w:rsidRDefault="007459D1" w:rsidP="0029357C"/>
  <w:p w14:paraId="2030BF60" w14:textId="77777777" w:rsidR="007459D1" w:rsidRPr="00506286" w:rsidRDefault="007459D1" w:rsidP="0029357C"/>
  <w:p w14:paraId="092A9467" w14:textId="77777777" w:rsidR="007459D1" w:rsidRPr="00506286" w:rsidRDefault="007459D1" w:rsidP="0029357C"/>
  <w:p w14:paraId="418BF4AE" w14:textId="77777777" w:rsidR="007459D1" w:rsidRPr="00506286" w:rsidRDefault="007459D1" w:rsidP="0029357C">
    <w:pPr>
      <w:rPr>
        <w:rStyle w:val="PageNumber"/>
      </w:rPr>
    </w:pPr>
  </w:p>
  <w:p w14:paraId="31369912" w14:textId="77777777" w:rsidR="007459D1" w:rsidRPr="00506286" w:rsidRDefault="007459D1">
    <w:pPr>
      <w:rPr>
        <w:szCs w:val="18"/>
      </w:rPr>
    </w:pPr>
    <w:r>
      <w:rPr>
        <w:noProof/>
        <w:szCs w:val="18"/>
      </w:rPr>
      <w:drawing>
        <wp:anchor distT="0" distB="0" distL="114300" distR="114300" simplePos="0" relativeHeight="251658240" behindDoc="1" locked="0" layoutInCell="1" allowOverlap="1" wp14:anchorId="69D7DBED" wp14:editId="191CF6E8">
          <wp:simplePos x="0" y="0"/>
          <wp:positionH relativeFrom="page">
            <wp:posOffset>0</wp:posOffset>
          </wp:positionH>
          <wp:positionV relativeFrom="page">
            <wp:posOffset>0</wp:posOffset>
          </wp:positionV>
          <wp:extent cx="7553325" cy="1638300"/>
          <wp:effectExtent l="0" t="0" r="0" b="12700"/>
          <wp:wrapNone/>
          <wp:docPr id="26" name="Picture 26"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169B038F" w14:textId="77777777" w:rsidR="007459D1" w:rsidRDefault="007459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37A03BB5"/>
    <w:multiLevelType w:val="hybridMultilevel"/>
    <w:tmpl w:val="B2281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4F8746FB"/>
    <w:multiLevelType w:val="multilevel"/>
    <w:tmpl w:val="4E8E1A44"/>
    <w:lvl w:ilvl="0">
      <w:start w:val="1"/>
      <w:numFmt w:val="decimal"/>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0DD7192"/>
    <w:multiLevelType w:val="multilevel"/>
    <w:tmpl w:val="4DA4F1D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95372855">
    <w:abstractNumId w:val="7"/>
  </w:num>
  <w:num w:numId="2" w16cid:durableId="2104953908">
    <w:abstractNumId w:val="5"/>
  </w:num>
  <w:num w:numId="3" w16cid:durableId="262307342">
    <w:abstractNumId w:val="9"/>
  </w:num>
  <w:num w:numId="4" w16cid:durableId="1685478176">
    <w:abstractNumId w:val="1"/>
  </w:num>
  <w:num w:numId="5" w16cid:durableId="581764121">
    <w:abstractNumId w:val="2"/>
  </w:num>
  <w:num w:numId="6" w16cid:durableId="112138335">
    <w:abstractNumId w:val="0"/>
  </w:num>
  <w:num w:numId="7" w16cid:durableId="842432388">
    <w:abstractNumId w:val="8"/>
  </w:num>
  <w:num w:numId="8" w16cid:durableId="901672270">
    <w:abstractNumId w:val="3"/>
  </w:num>
  <w:num w:numId="9" w16cid:durableId="176969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451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3494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8294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7825512">
    <w:abstractNumId w:val="7"/>
  </w:num>
  <w:num w:numId="14" w16cid:durableId="1176186211">
    <w:abstractNumId w:val="7"/>
  </w:num>
  <w:num w:numId="15" w16cid:durableId="2113234510">
    <w:abstractNumId w:val="4"/>
  </w:num>
  <w:num w:numId="16" w16cid:durableId="1138646106">
    <w:abstractNumId w:val="4"/>
  </w:num>
  <w:num w:numId="17" w16cid:durableId="1205870324">
    <w:abstractNumId w:val="6"/>
  </w:num>
  <w:num w:numId="18" w16cid:durableId="120934226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1A60"/>
    <w:rsid w:val="00004113"/>
    <w:rsid w:val="000048A5"/>
    <w:rsid w:val="0000712E"/>
    <w:rsid w:val="000156FC"/>
    <w:rsid w:val="000203B9"/>
    <w:rsid w:val="000209E2"/>
    <w:rsid w:val="0002575D"/>
    <w:rsid w:val="00025E3E"/>
    <w:rsid w:val="0003018C"/>
    <w:rsid w:val="00030E56"/>
    <w:rsid w:val="000359A9"/>
    <w:rsid w:val="00040AB1"/>
    <w:rsid w:val="0004304E"/>
    <w:rsid w:val="00043E94"/>
    <w:rsid w:val="00047839"/>
    <w:rsid w:val="00047CF7"/>
    <w:rsid w:val="00050013"/>
    <w:rsid w:val="00050738"/>
    <w:rsid w:val="00051848"/>
    <w:rsid w:val="00055A20"/>
    <w:rsid w:val="0006200D"/>
    <w:rsid w:val="0006321E"/>
    <w:rsid w:val="00064D87"/>
    <w:rsid w:val="00070208"/>
    <w:rsid w:val="0007283A"/>
    <w:rsid w:val="00087721"/>
    <w:rsid w:val="000903E2"/>
    <w:rsid w:val="00094130"/>
    <w:rsid w:val="000950EA"/>
    <w:rsid w:val="00097B0F"/>
    <w:rsid w:val="000A251E"/>
    <w:rsid w:val="000A5EC1"/>
    <w:rsid w:val="000A6E58"/>
    <w:rsid w:val="000B318D"/>
    <w:rsid w:val="000C1118"/>
    <w:rsid w:val="000D0115"/>
    <w:rsid w:val="000D0671"/>
    <w:rsid w:val="000D1887"/>
    <w:rsid w:val="000D4801"/>
    <w:rsid w:val="000D6567"/>
    <w:rsid w:val="000E140A"/>
    <w:rsid w:val="000E23AB"/>
    <w:rsid w:val="000E2E90"/>
    <w:rsid w:val="000E780A"/>
    <w:rsid w:val="000F2080"/>
    <w:rsid w:val="000F2E34"/>
    <w:rsid w:val="000F5D51"/>
    <w:rsid w:val="00101F37"/>
    <w:rsid w:val="0010262C"/>
    <w:rsid w:val="0010270A"/>
    <w:rsid w:val="0010773E"/>
    <w:rsid w:val="00110BD4"/>
    <w:rsid w:val="00116AA6"/>
    <w:rsid w:val="00120423"/>
    <w:rsid w:val="001232E7"/>
    <w:rsid w:val="001267F3"/>
    <w:rsid w:val="00130367"/>
    <w:rsid w:val="001306FE"/>
    <w:rsid w:val="00131269"/>
    <w:rsid w:val="00133B05"/>
    <w:rsid w:val="00135E40"/>
    <w:rsid w:val="00144294"/>
    <w:rsid w:val="00145A8F"/>
    <w:rsid w:val="00163048"/>
    <w:rsid w:val="00164B8B"/>
    <w:rsid w:val="00167C52"/>
    <w:rsid w:val="00167F69"/>
    <w:rsid w:val="00177E52"/>
    <w:rsid w:val="00181C87"/>
    <w:rsid w:val="00183705"/>
    <w:rsid w:val="0018774B"/>
    <w:rsid w:val="00194256"/>
    <w:rsid w:val="001A3240"/>
    <w:rsid w:val="001A4987"/>
    <w:rsid w:val="001A6C2D"/>
    <w:rsid w:val="001B4E8F"/>
    <w:rsid w:val="001B6486"/>
    <w:rsid w:val="001C02E9"/>
    <w:rsid w:val="001C41F7"/>
    <w:rsid w:val="001C5841"/>
    <w:rsid w:val="001C5CEB"/>
    <w:rsid w:val="001C6BA4"/>
    <w:rsid w:val="001D1951"/>
    <w:rsid w:val="001D1D67"/>
    <w:rsid w:val="001D2E41"/>
    <w:rsid w:val="001D7FF7"/>
    <w:rsid w:val="001F1BCD"/>
    <w:rsid w:val="001F1D19"/>
    <w:rsid w:val="001F5C26"/>
    <w:rsid w:val="00203A05"/>
    <w:rsid w:val="00205935"/>
    <w:rsid w:val="002219BF"/>
    <w:rsid w:val="00225EC5"/>
    <w:rsid w:val="002279B0"/>
    <w:rsid w:val="00227FBB"/>
    <w:rsid w:val="002315DF"/>
    <w:rsid w:val="00233736"/>
    <w:rsid w:val="002351F1"/>
    <w:rsid w:val="00236B06"/>
    <w:rsid w:val="00240A1E"/>
    <w:rsid w:val="002475DE"/>
    <w:rsid w:val="0025073F"/>
    <w:rsid w:val="002542BD"/>
    <w:rsid w:val="00257AE9"/>
    <w:rsid w:val="00263724"/>
    <w:rsid w:val="00263924"/>
    <w:rsid w:val="00267B14"/>
    <w:rsid w:val="0027057B"/>
    <w:rsid w:val="002877BD"/>
    <w:rsid w:val="00291A94"/>
    <w:rsid w:val="0029328C"/>
    <w:rsid w:val="0029357C"/>
    <w:rsid w:val="002956FA"/>
    <w:rsid w:val="002A3A70"/>
    <w:rsid w:val="002A5F4D"/>
    <w:rsid w:val="002A7BCA"/>
    <w:rsid w:val="002B5B3B"/>
    <w:rsid w:val="002B602C"/>
    <w:rsid w:val="002D47AC"/>
    <w:rsid w:val="002E1E05"/>
    <w:rsid w:val="002E24AF"/>
    <w:rsid w:val="002E3C01"/>
    <w:rsid w:val="002E3E7A"/>
    <w:rsid w:val="002F236D"/>
    <w:rsid w:val="002F532D"/>
    <w:rsid w:val="002F5687"/>
    <w:rsid w:val="003005CB"/>
    <w:rsid w:val="00304D24"/>
    <w:rsid w:val="003133BC"/>
    <w:rsid w:val="003147A3"/>
    <w:rsid w:val="00314D76"/>
    <w:rsid w:val="003177B8"/>
    <w:rsid w:val="00321598"/>
    <w:rsid w:val="00323594"/>
    <w:rsid w:val="00325582"/>
    <w:rsid w:val="00326AF0"/>
    <w:rsid w:val="003311EF"/>
    <w:rsid w:val="00335229"/>
    <w:rsid w:val="00335941"/>
    <w:rsid w:val="00337BD8"/>
    <w:rsid w:val="00341611"/>
    <w:rsid w:val="00341E72"/>
    <w:rsid w:val="00342CF7"/>
    <w:rsid w:val="00342FAA"/>
    <w:rsid w:val="00346D45"/>
    <w:rsid w:val="0035515E"/>
    <w:rsid w:val="00360FCC"/>
    <w:rsid w:val="00361A2D"/>
    <w:rsid w:val="00363A87"/>
    <w:rsid w:val="00364A2D"/>
    <w:rsid w:val="00366C04"/>
    <w:rsid w:val="00374EEA"/>
    <w:rsid w:val="00381E38"/>
    <w:rsid w:val="00385E9C"/>
    <w:rsid w:val="003863FC"/>
    <w:rsid w:val="00391612"/>
    <w:rsid w:val="00392669"/>
    <w:rsid w:val="00395FC9"/>
    <w:rsid w:val="003A1EEA"/>
    <w:rsid w:val="003A2587"/>
    <w:rsid w:val="003A4FE4"/>
    <w:rsid w:val="003B1EBE"/>
    <w:rsid w:val="003B5674"/>
    <w:rsid w:val="003B6DC0"/>
    <w:rsid w:val="003C6114"/>
    <w:rsid w:val="003C7D16"/>
    <w:rsid w:val="003D4405"/>
    <w:rsid w:val="003D7A17"/>
    <w:rsid w:val="003E091E"/>
    <w:rsid w:val="003E2AEF"/>
    <w:rsid w:val="003E3E97"/>
    <w:rsid w:val="003E5670"/>
    <w:rsid w:val="003E6055"/>
    <w:rsid w:val="003E721B"/>
    <w:rsid w:val="003F081D"/>
    <w:rsid w:val="003F0A32"/>
    <w:rsid w:val="003F41F3"/>
    <w:rsid w:val="0040029D"/>
    <w:rsid w:val="00404C9D"/>
    <w:rsid w:val="00410796"/>
    <w:rsid w:val="00411636"/>
    <w:rsid w:val="00411C84"/>
    <w:rsid w:val="00414E48"/>
    <w:rsid w:val="00423BD8"/>
    <w:rsid w:val="00423FAD"/>
    <w:rsid w:val="00430787"/>
    <w:rsid w:val="00440C63"/>
    <w:rsid w:val="00441C8F"/>
    <w:rsid w:val="00445B1D"/>
    <w:rsid w:val="00447885"/>
    <w:rsid w:val="0045432F"/>
    <w:rsid w:val="0045466F"/>
    <w:rsid w:val="00456EE9"/>
    <w:rsid w:val="0046703F"/>
    <w:rsid w:val="00470D4C"/>
    <w:rsid w:val="0047653A"/>
    <w:rsid w:val="00484E76"/>
    <w:rsid w:val="00485746"/>
    <w:rsid w:val="00486F8A"/>
    <w:rsid w:val="00491DF5"/>
    <w:rsid w:val="004A289F"/>
    <w:rsid w:val="004A2E91"/>
    <w:rsid w:val="004A3A69"/>
    <w:rsid w:val="004A7435"/>
    <w:rsid w:val="004B22B0"/>
    <w:rsid w:val="004B4CC9"/>
    <w:rsid w:val="004B6C9C"/>
    <w:rsid w:val="004C3B06"/>
    <w:rsid w:val="004C50A0"/>
    <w:rsid w:val="004C5D8B"/>
    <w:rsid w:val="004C62E4"/>
    <w:rsid w:val="004E100D"/>
    <w:rsid w:val="004E1484"/>
    <w:rsid w:val="004E560F"/>
    <w:rsid w:val="004E5981"/>
    <w:rsid w:val="004F0D51"/>
    <w:rsid w:val="004F1291"/>
    <w:rsid w:val="004F31DA"/>
    <w:rsid w:val="004F4CDA"/>
    <w:rsid w:val="004F57AB"/>
    <w:rsid w:val="004F614F"/>
    <w:rsid w:val="005003B1"/>
    <w:rsid w:val="005006A7"/>
    <w:rsid w:val="00501D6B"/>
    <w:rsid w:val="00513A96"/>
    <w:rsid w:val="00514571"/>
    <w:rsid w:val="00520855"/>
    <w:rsid w:val="00521569"/>
    <w:rsid w:val="00526D4E"/>
    <w:rsid w:val="005308E5"/>
    <w:rsid w:val="00537D55"/>
    <w:rsid w:val="0054219A"/>
    <w:rsid w:val="00543EE5"/>
    <w:rsid w:val="00543EE7"/>
    <w:rsid w:val="00544A6F"/>
    <w:rsid w:val="00544E2A"/>
    <w:rsid w:val="005458E9"/>
    <w:rsid w:val="0054735B"/>
    <w:rsid w:val="005549D2"/>
    <w:rsid w:val="005559F3"/>
    <w:rsid w:val="00570E5D"/>
    <w:rsid w:val="005739C9"/>
    <w:rsid w:val="00576501"/>
    <w:rsid w:val="00581FA7"/>
    <w:rsid w:val="0058705E"/>
    <w:rsid w:val="00590805"/>
    <w:rsid w:val="00591B5F"/>
    <w:rsid w:val="00593042"/>
    <w:rsid w:val="005A0FFB"/>
    <w:rsid w:val="005A1696"/>
    <w:rsid w:val="005A17AB"/>
    <w:rsid w:val="005A6231"/>
    <w:rsid w:val="005A6581"/>
    <w:rsid w:val="005A6991"/>
    <w:rsid w:val="005B0F97"/>
    <w:rsid w:val="005C06A8"/>
    <w:rsid w:val="005C5D42"/>
    <w:rsid w:val="005C5FF7"/>
    <w:rsid w:val="005D7533"/>
    <w:rsid w:val="005D7ADF"/>
    <w:rsid w:val="005E14BE"/>
    <w:rsid w:val="005E50E1"/>
    <w:rsid w:val="005F297D"/>
    <w:rsid w:val="005F7904"/>
    <w:rsid w:val="005F7DC9"/>
    <w:rsid w:val="0060363D"/>
    <w:rsid w:val="0060546C"/>
    <w:rsid w:val="0061071C"/>
    <w:rsid w:val="00615395"/>
    <w:rsid w:val="006201D8"/>
    <w:rsid w:val="00621D45"/>
    <w:rsid w:val="00622FF4"/>
    <w:rsid w:val="00624331"/>
    <w:rsid w:val="00625A34"/>
    <w:rsid w:val="006275EC"/>
    <w:rsid w:val="00627A9F"/>
    <w:rsid w:val="00630B20"/>
    <w:rsid w:val="00631718"/>
    <w:rsid w:val="00635ECE"/>
    <w:rsid w:val="00636D5E"/>
    <w:rsid w:val="00645B3C"/>
    <w:rsid w:val="0064689C"/>
    <w:rsid w:val="00653575"/>
    <w:rsid w:val="00654200"/>
    <w:rsid w:val="0065724A"/>
    <w:rsid w:val="00657A71"/>
    <w:rsid w:val="0066499B"/>
    <w:rsid w:val="00666284"/>
    <w:rsid w:val="0067085A"/>
    <w:rsid w:val="00670F62"/>
    <w:rsid w:val="00675284"/>
    <w:rsid w:val="0067672E"/>
    <w:rsid w:val="00683871"/>
    <w:rsid w:val="00684898"/>
    <w:rsid w:val="006857E8"/>
    <w:rsid w:val="00686E1B"/>
    <w:rsid w:val="006910A4"/>
    <w:rsid w:val="0069484B"/>
    <w:rsid w:val="00696955"/>
    <w:rsid w:val="006974F6"/>
    <w:rsid w:val="006A5C0C"/>
    <w:rsid w:val="006A7D62"/>
    <w:rsid w:val="006C001A"/>
    <w:rsid w:val="006C1ED1"/>
    <w:rsid w:val="006C4225"/>
    <w:rsid w:val="006C59BD"/>
    <w:rsid w:val="006D22E6"/>
    <w:rsid w:val="006D4ED1"/>
    <w:rsid w:val="006D5577"/>
    <w:rsid w:val="006D7D84"/>
    <w:rsid w:val="006E4C3F"/>
    <w:rsid w:val="006E61B6"/>
    <w:rsid w:val="00700712"/>
    <w:rsid w:val="00702A1C"/>
    <w:rsid w:val="007103D6"/>
    <w:rsid w:val="00712E15"/>
    <w:rsid w:val="00713F36"/>
    <w:rsid w:val="007157D6"/>
    <w:rsid w:val="007169DC"/>
    <w:rsid w:val="00721964"/>
    <w:rsid w:val="00721D27"/>
    <w:rsid w:val="00725EE0"/>
    <w:rsid w:val="00731E47"/>
    <w:rsid w:val="0073340F"/>
    <w:rsid w:val="0073532B"/>
    <w:rsid w:val="007354AB"/>
    <w:rsid w:val="00735E41"/>
    <w:rsid w:val="0073794D"/>
    <w:rsid w:val="007459D1"/>
    <w:rsid w:val="0074771A"/>
    <w:rsid w:val="00753DE1"/>
    <w:rsid w:val="00761CEB"/>
    <w:rsid w:val="00765DE7"/>
    <w:rsid w:val="00771C57"/>
    <w:rsid w:val="00777C66"/>
    <w:rsid w:val="0079558C"/>
    <w:rsid w:val="00796DA8"/>
    <w:rsid w:val="007A191E"/>
    <w:rsid w:val="007A33F7"/>
    <w:rsid w:val="007A3A46"/>
    <w:rsid w:val="007A58C8"/>
    <w:rsid w:val="007A5A7C"/>
    <w:rsid w:val="007A5C75"/>
    <w:rsid w:val="007A6A95"/>
    <w:rsid w:val="007B0C60"/>
    <w:rsid w:val="007B2BAE"/>
    <w:rsid w:val="007C72F5"/>
    <w:rsid w:val="007D10EB"/>
    <w:rsid w:val="007D7469"/>
    <w:rsid w:val="007E1873"/>
    <w:rsid w:val="007E540A"/>
    <w:rsid w:val="007F25B7"/>
    <w:rsid w:val="007F2C8C"/>
    <w:rsid w:val="007F7BCE"/>
    <w:rsid w:val="00801B62"/>
    <w:rsid w:val="0080488D"/>
    <w:rsid w:val="00811ACB"/>
    <w:rsid w:val="008140FC"/>
    <w:rsid w:val="00820520"/>
    <w:rsid w:val="00821904"/>
    <w:rsid w:val="00822BA3"/>
    <w:rsid w:val="00822EB1"/>
    <w:rsid w:val="008240F1"/>
    <w:rsid w:val="00832C79"/>
    <w:rsid w:val="008365B1"/>
    <w:rsid w:val="00836B64"/>
    <w:rsid w:val="008418C9"/>
    <w:rsid w:val="00842E8B"/>
    <w:rsid w:val="008439F9"/>
    <w:rsid w:val="00852479"/>
    <w:rsid w:val="008539BA"/>
    <w:rsid w:val="00861B43"/>
    <w:rsid w:val="00862C40"/>
    <w:rsid w:val="00870434"/>
    <w:rsid w:val="00873F0D"/>
    <w:rsid w:val="008747A1"/>
    <w:rsid w:val="008751E1"/>
    <w:rsid w:val="00881DDE"/>
    <w:rsid w:val="008848A4"/>
    <w:rsid w:val="008855AD"/>
    <w:rsid w:val="00885EC4"/>
    <w:rsid w:val="00887629"/>
    <w:rsid w:val="00893C5F"/>
    <w:rsid w:val="008A45A2"/>
    <w:rsid w:val="008A5944"/>
    <w:rsid w:val="008A5EA3"/>
    <w:rsid w:val="008B0ED4"/>
    <w:rsid w:val="008B48E7"/>
    <w:rsid w:val="008C2C7D"/>
    <w:rsid w:val="008C62FD"/>
    <w:rsid w:val="008C658A"/>
    <w:rsid w:val="008D4FCE"/>
    <w:rsid w:val="008E1559"/>
    <w:rsid w:val="008E4306"/>
    <w:rsid w:val="008E4B60"/>
    <w:rsid w:val="008F37E0"/>
    <w:rsid w:val="00901F95"/>
    <w:rsid w:val="009049A3"/>
    <w:rsid w:val="00904F5E"/>
    <w:rsid w:val="00910F17"/>
    <w:rsid w:val="00911051"/>
    <w:rsid w:val="00912D3C"/>
    <w:rsid w:val="00914591"/>
    <w:rsid w:val="00927CE6"/>
    <w:rsid w:val="00941274"/>
    <w:rsid w:val="00944976"/>
    <w:rsid w:val="00945B7A"/>
    <w:rsid w:val="00946023"/>
    <w:rsid w:val="0094660D"/>
    <w:rsid w:val="00947B7A"/>
    <w:rsid w:val="00951354"/>
    <w:rsid w:val="0096263D"/>
    <w:rsid w:val="00964B70"/>
    <w:rsid w:val="009703A9"/>
    <w:rsid w:val="009712D3"/>
    <w:rsid w:val="00973BA8"/>
    <w:rsid w:val="009777ED"/>
    <w:rsid w:val="009834A4"/>
    <w:rsid w:val="00984832"/>
    <w:rsid w:val="00987102"/>
    <w:rsid w:val="0098721F"/>
    <w:rsid w:val="00996247"/>
    <w:rsid w:val="0099650B"/>
    <w:rsid w:val="009A1B74"/>
    <w:rsid w:val="009B12F9"/>
    <w:rsid w:val="009B2585"/>
    <w:rsid w:val="009B2873"/>
    <w:rsid w:val="009B3728"/>
    <w:rsid w:val="009B4871"/>
    <w:rsid w:val="009C06FE"/>
    <w:rsid w:val="009D18AB"/>
    <w:rsid w:val="009D1B2C"/>
    <w:rsid w:val="009E7642"/>
    <w:rsid w:val="009E7AD6"/>
    <w:rsid w:val="00A000F7"/>
    <w:rsid w:val="00A0780F"/>
    <w:rsid w:val="00A10808"/>
    <w:rsid w:val="00A1110A"/>
    <w:rsid w:val="00A20A67"/>
    <w:rsid w:val="00A236B8"/>
    <w:rsid w:val="00A241CB"/>
    <w:rsid w:val="00A30718"/>
    <w:rsid w:val="00A30D76"/>
    <w:rsid w:val="00A3250D"/>
    <w:rsid w:val="00A334C4"/>
    <w:rsid w:val="00A34748"/>
    <w:rsid w:val="00A34C5F"/>
    <w:rsid w:val="00A37ED8"/>
    <w:rsid w:val="00A42B56"/>
    <w:rsid w:val="00A523C0"/>
    <w:rsid w:val="00A56187"/>
    <w:rsid w:val="00A56DC9"/>
    <w:rsid w:val="00A62629"/>
    <w:rsid w:val="00A66D13"/>
    <w:rsid w:val="00A70CD0"/>
    <w:rsid w:val="00A77C31"/>
    <w:rsid w:val="00A86D94"/>
    <w:rsid w:val="00A91C9C"/>
    <w:rsid w:val="00A95DB9"/>
    <w:rsid w:val="00AA2CC6"/>
    <w:rsid w:val="00AA3422"/>
    <w:rsid w:val="00AB22C5"/>
    <w:rsid w:val="00AB2343"/>
    <w:rsid w:val="00AB26B2"/>
    <w:rsid w:val="00AC1287"/>
    <w:rsid w:val="00AC294F"/>
    <w:rsid w:val="00AC6D7A"/>
    <w:rsid w:val="00AC7990"/>
    <w:rsid w:val="00AD0AA7"/>
    <w:rsid w:val="00AD2A02"/>
    <w:rsid w:val="00AD5313"/>
    <w:rsid w:val="00AE1D9F"/>
    <w:rsid w:val="00AE6071"/>
    <w:rsid w:val="00AE7887"/>
    <w:rsid w:val="00AF1982"/>
    <w:rsid w:val="00AF5E74"/>
    <w:rsid w:val="00AF6AB4"/>
    <w:rsid w:val="00AF7EA1"/>
    <w:rsid w:val="00B02F28"/>
    <w:rsid w:val="00B04545"/>
    <w:rsid w:val="00B0717F"/>
    <w:rsid w:val="00B10AE8"/>
    <w:rsid w:val="00B146DA"/>
    <w:rsid w:val="00B21EF8"/>
    <w:rsid w:val="00B24421"/>
    <w:rsid w:val="00B24F05"/>
    <w:rsid w:val="00B33566"/>
    <w:rsid w:val="00B346B2"/>
    <w:rsid w:val="00B353EA"/>
    <w:rsid w:val="00B36DC2"/>
    <w:rsid w:val="00B37161"/>
    <w:rsid w:val="00B41063"/>
    <w:rsid w:val="00B46F53"/>
    <w:rsid w:val="00B55C88"/>
    <w:rsid w:val="00B736A7"/>
    <w:rsid w:val="00B81515"/>
    <w:rsid w:val="00B8439A"/>
    <w:rsid w:val="00B85237"/>
    <w:rsid w:val="00B85855"/>
    <w:rsid w:val="00B922E5"/>
    <w:rsid w:val="00B94D42"/>
    <w:rsid w:val="00BA2ED4"/>
    <w:rsid w:val="00BA5564"/>
    <w:rsid w:val="00BA7432"/>
    <w:rsid w:val="00BA79D6"/>
    <w:rsid w:val="00BB00E6"/>
    <w:rsid w:val="00BB10E6"/>
    <w:rsid w:val="00BB42D9"/>
    <w:rsid w:val="00BB47F4"/>
    <w:rsid w:val="00BB5A75"/>
    <w:rsid w:val="00BC1812"/>
    <w:rsid w:val="00BC3229"/>
    <w:rsid w:val="00BC5143"/>
    <w:rsid w:val="00BC5E14"/>
    <w:rsid w:val="00BD05A1"/>
    <w:rsid w:val="00BD1F3C"/>
    <w:rsid w:val="00BD7E35"/>
    <w:rsid w:val="00BE3315"/>
    <w:rsid w:val="00BE3C1A"/>
    <w:rsid w:val="00BE5FAB"/>
    <w:rsid w:val="00BE65FB"/>
    <w:rsid w:val="00BE66E3"/>
    <w:rsid w:val="00BE6F38"/>
    <w:rsid w:val="00BF4071"/>
    <w:rsid w:val="00BF68CE"/>
    <w:rsid w:val="00C06932"/>
    <w:rsid w:val="00C07BBD"/>
    <w:rsid w:val="00C1213A"/>
    <w:rsid w:val="00C1581F"/>
    <w:rsid w:val="00C20197"/>
    <w:rsid w:val="00C205A5"/>
    <w:rsid w:val="00C42CF6"/>
    <w:rsid w:val="00C451C2"/>
    <w:rsid w:val="00C556ED"/>
    <w:rsid w:val="00C55A42"/>
    <w:rsid w:val="00C56E2E"/>
    <w:rsid w:val="00C57331"/>
    <w:rsid w:val="00C63E07"/>
    <w:rsid w:val="00C732E8"/>
    <w:rsid w:val="00C74840"/>
    <w:rsid w:val="00C758DD"/>
    <w:rsid w:val="00C75A75"/>
    <w:rsid w:val="00C80E4A"/>
    <w:rsid w:val="00C82DC1"/>
    <w:rsid w:val="00C90E77"/>
    <w:rsid w:val="00C95138"/>
    <w:rsid w:val="00CA4A94"/>
    <w:rsid w:val="00CB3CD4"/>
    <w:rsid w:val="00CC0210"/>
    <w:rsid w:val="00CC3196"/>
    <w:rsid w:val="00CC3604"/>
    <w:rsid w:val="00CC5EBC"/>
    <w:rsid w:val="00CC65AD"/>
    <w:rsid w:val="00CC754C"/>
    <w:rsid w:val="00CD4B2C"/>
    <w:rsid w:val="00CE187E"/>
    <w:rsid w:val="00CF0927"/>
    <w:rsid w:val="00D03410"/>
    <w:rsid w:val="00D039CD"/>
    <w:rsid w:val="00D10949"/>
    <w:rsid w:val="00D21D9F"/>
    <w:rsid w:val="00D2356B"/>
    <w:rsid w:val="00D27A72"/>
    <w:rsid w:val="00D32813"/>
    <w:rsid w:val="00D361B2"/>
    <w:rsid w:val="00D40406"/>
    <w:rsid w:val="00D42652"/>
    <w:rsid w:val="00D4413C"/>
    <w:rsid w:val="00D45724"/>
    <w:rsid w:val="00D45A4F"/>
    <w:rsid w:val="00D5711D"/>
    <w:rsid w:val="00D6472B"/>
    <w:rsid w:val="00D66490"/>
    <w:rsid w:val="00D67389"/>
    <w:rsid w:val="00D73699"/>
    <w:rsid w:val="00D84159"/>
    <w:rsid w:val="00D85B37"/>
    <w:rsid w:val="00D86B00"/>
    <w:rsid w:val="00D87E62"/>
    <w:rsid w:val="00D91928"/>
    <w:rsid w:val="00D96A8F"/>
    <w:rsid w:val="00DA1290"/>
    <w:rsid w:val="00DA2056"/>
    <w:rsid w:val="00DA3DDE"/>
    <w:rsid w:val="00DA6E4D"/>
    <w:rsid w:val="00DC283D"/>
    <w:rsid w:val="00DC4186"/>
    <w:rsid w:val="00DD39B4"/>
    <w:rsid w:val="00DD6EF0"/>
    <w:rsid w:val="00DE0CA4"/>
    <w:rsid w:val="00DE1E99"/>
    <w:rsid w:val="00DE2B30"/>
    <w:rsid w:val="00DE4B54"/>
    <w:rsid w:val="00DE7662"/>
    <w:rsid w:val="00DF4FD2"/>
    <w:rsid w:val="00E01B26"/>
    <w:rsid w:val="00E06AC6"/>
    <w:rsid w:val="00E06D3D"/>
    <w:rsid w:val="00E06D5B"/>
    <w:rsid w:val="00E1738B"/>
    <w:rsid w:val="00E222E9"/>
    <w:rsid w:val="00E2782D"/>
    <w:rsid w:val="00E33973"/>
    <w:rsid w:val="00E35048"/>
    <w:rsid w:val="00E36BDB"/>
    <w:rsid w:val="00E443B2"/>
    <w:rsid w:val="00E5083C"/>
    <w:rsid w:val="00E51ED2"/>
    <w:rsid w:val="00E560C8"/>
    <w:rsid w:val="00E568AD"/>
    <w:rsid w:val="00E6239C"/>
    <w:rsid w:val="00E633C2"/>
    <w:rsid w:val="00E63BBA"/>
    <w:rsid w:val="00E658D3"/>
    <w:rsid w:val="00E66A2A"/>
    <w:rsid w:val="00E71655"/>
    <w:rsid w:val="00E8129D"/>
    <w:rsid w:val="00E8470D"/>
    <w:rsid w:val="00E868A7"/>
    <w:rsid w:val="00E869A8"/>
    <w:rsid w:val="00E90EC8"/>
    <w:rsid w:val="00E9215F"/>
    <w:rsid w:val="00E92FAE"/>
    <w:rsid w:val="00E9496D"/>
    <w:rsid w:val="00E95D1E"/>
    <w:rsid w:val="00EA0276"/>
    <w:rsid w:val="00EA20CF"/>
    <w:rsid w:val="00EA310F"/>
    <w:rsid w:val="00EA40C4"/>
    <w:rsid w:val="00EB3E25"/>
    <w:rsid w:val="00EB743F"/>
    <w:rsid w:val="00ED0E75"/>
    <w:rsid w:val="00ED1B85"/>
    <w:rsid w:val="00EE005E"/>
    <w:rsid w:val="00EE6BB1"/>
    <w:rsid w:val="00EF6723"/>
    <w:rsid w:val="00EF7239"/>
    <w:rsid w:val="00F01F8A"/>
    <w:rsid w:val="00F04FAA"/>
    <w:rsid w:val="00F06FED"/>
    <w:rsid w:val="00F07DB8"/>
    <w:rsid w:val="00F13DBC"/>
    <w:rsid w:val="00F22AC0"/>
    <w:rsid w:val="00F2549C"/>
    <w:rsid w:val="00F32B68"/>
    <w:rsid w:val="00F402F0"/>
    <w:rsid w:val="00F4201B"/>
    <w:rsid w:val="00F42B20"/>
    <w:rsid w:val="00F452C5"/>
    <w:rsid w:val="00F50B52"/>
    <w:rsid w:val="00F5243C"/>
    <w:rsid w:val="00F604FC"/>
    <w:rsid w:val="00F659EC"/>
    <w:rsid w:val="00F71129"/>
    <w:rsid w:val="00F824EE"/>
    <w:rsid w:val="00F8375E"/>
    <w:rsid w:val="00F83C8F"/>
    <w:rsid w:val="00F8470B"/>
    <w:rsid w:val="00F84DD4"/>
    <w:rsid w:val="00F851FF"/>
    <w:rsid w:val="00F9122A"/>
    <w:rsid w:val="00FA0010"/>
    <w:rsid w:val="00FA1149"/>
    <w:rsid w:val="00FA67D2"/>
    <w:rsid w:val="00FB064D"/>
    <w:rsid w:val="00FB3CD1"/>
    <w:rsid w:val="00FB4D6E"/>
    <w:rsid w:val="00FB7DD7"/>
    <w:rsid w:val="00FC7C70"/>
    <w:rsid w:val="00FC7EE8"/>
    <w:rsid w:val="00FD0497"/>
    <w:rsid w:val="00FD1385"/>
    <w:rsid w:val="00FD2C59"/>
    <w:rsid w:val="00FD44F1"/>
    <w:rsid w:val="00FE5356"/>
    <w:rsid w:val="00FE7D27"/>
    <w:rsid w:val="00FF3EB4"/>
    <w:rsid w:val="00FF4750"/>
    <w:rsid w:val="00FF5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6AA10039"/>
  <w15:docId w15:val="{4DCFEEB8-C69B-4BE9-BAB8-32F65B40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96263D"/>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96263D"/>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styleId="BodyText2">
    <w:name w:val="Body Text 2"/>
    <w:basedOn w:val="Normal"/>
    <w:link w:val="BodyText2Char"/>
    <w:semiHidden/>
    <w:unhideWhenUsed/>
    <w:rsid w:val="007E540A"/>
    <w:pPr>
      <w:spacing w:after="120" w:line="480" w:lineRule="auto"/>
    </w:pPr>
  </w:style>
  <w:style w:type="character" w:customStyle="1" w:styleId="BodyText2Char">
    <w:name w:val="Body Text 2 Char"/>
    <w:basedOn w:val="DefaultParagraphFont"/>
    <w:link w:val="BodyText2"/>
    <w:semiHidden/>
    <w:rsid w:val="007E540A"/>
    <w:rPr>
      <w:rFonts w:ascii="Helvetica" w:hAnsi="Helvetica"/>
      <w:szCs w:val="24"/>
    </w:rPr>
  </w:style>
  <w:style w:type="paragraph" w:styleId="EndnoteText">
    <w:name w:val="endnote text"/>
    <w:basedOn w:val="Normal"/>
    <w:link w:val="EndnoteTextChar"/>
    <w:semiHidden/>
    <w:rsid w:val="007E540A"/>
    <w:pPr>
      <w:tabs>
        <w:tab w:val="left" w:pos="357"/>
        <w:tab w:val="left" w:pos="720"/>
      </w:tabs>
      <w:spacing w:before="120" w:after="120" w:line="360" w:lineRule="auto"/>
    </w:pPr>
    <w:rPr>
      <w:rFonts w:ascii="Arial" w:hAnsi="Arial"/>
      <w:snapToGrid w:val="0"/>
      <w:szCs w:val="20"/>
      <w:lang w:val="en-GB" w:eastAsia="sv-SE"/>
    </w:rPr>
  </w:style>
  <w:style w:type="character" w:customStyle="1" w:styleId="EndnoteTextChar">
    <w:name w:val="Endnote Text Char"/>
    <w:basedOn w:val="DefaultParagraphFont"/>
    <w:link w:val="EndnoteText"/>
    <w:semiHidden/>
    <w:rsid w:val="007E540A"/>
    <w:rPr>
      <w:rFonts w:ascii="Arial" w:hAnsi="Arial"/>
      <w:snapToGrid w:val="0"/>
      <w:lang w:val="en-GB" w:eastAsia="sv-SE"/>
    </w:rPr>
  </w:style>
  <w:style w:type="paragraph" w:styleId="Revision">
    <w:name w:val="Revision"/>
    <w:hidden/>
    <w:uiPriority w:val="71"/>
    <w:semiHidden/>
    <w:rsid w:val="007103D6"/>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75146">
      <w:bodyDiv w:val="1"/>
      <w:marLeft w:val="0"/>
      <w:marRight w:val="0"/>
      <w:marTop w:val="0"/>
      <w:marBottom w:val="0"/>
      <w:divBdr>
        <w:top w:val="none" w:sz="0" w:space="0" w:color="auto"/>
        <w:left w:val="none" w:sz="0" w:space="0" w:color="auto"/>
        <w:bottom w:val="none" w:sz="0" w:space="0" w:color="auto"/>
        <w:right w:val="none" w:sz="0" w:space="0" w:color="auto"/>
      </w:divBdr>
    </w:div>
    <w:div w:id="630477183">
      <w:bodyDiv w:val="1"/>
      <w:marLeft w:val="0"/>
      <w:marRight w:val="0"/>
      <w:marTop w:val="0"/>
      <w:marBottom w:val="0"/>
      <w:divBdr>
        <w:top w:val="none" w:sz="0" w:space="0" w:color="auto"/>
        <w:left w:val="none" w:sz="0" w:space="0" w:color="auto"/>
        <w:bottom w:val="none" w:sz="0" w:space="0" w:color="auto"/>
        <w:right w:val="none" w:sz="0" w:space="0" w:color="auto"/>
      </w:divBdr>
    </w:div>
    <w:div w:id="1410080779">
      <w:bodyDiv w:val="1"/>
      <w:marLeft w:val="0"/>
      <w:marRight w:val="0"/>
      <w:marTop w:val="0"/>
      <w:marBottom w:val="0"/>
      <w:divBdr>
        <w:top w:val="none" w:sz="0" w:space="0" w:color="auto"/>
        <w:left w:val="none" w:sz="0" w:space="0" w:color="auto"/>
        <w:bottom w:val="none" w:sz="0" w:space="0" w:color="auto"/>
        <w:right w:val="none" w:sz="0" w:space="0" w:color="auto"/>
      </w:divBdr>
    </w:div>
    <w:div w:id="1791321959">
      <w:bodyDiv w:val="1"/>
      <w:marLeft w:val="0"/>
      <w:marRight w:val="0"/>
      <w:marTop w:val="0"/>
      <w:marBottom w:val="0"/>
      <w:divBdr>
        <w:top w:val="none" w:sz="0" w:space="0" w:color="auto"/>
        <w:left w:val="none" w:sz="0" w:space="0" w:color="auto"/>
        <w:bottom w:val="none" w:sz="0" w:space="0" w:color="auto"/>
        <w:right w:val="none" w:sz="0" w:space="0" w:color="auto"/>
      </w:divBdr>
    </w:div>
    <w:div w:id="197776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14E96B-79B0-4AB3-87CE-E22FCC4AD182}">
  <ds:schemaRefs>
    <ds:schemaRef ds:uri="http://schemas.openxmlformats.org/officeDocument/2006/bibliography"/>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58</TotalTime>
  <Pages>16</Pages>
  <Words>1754</Words>
  <Characters>9741</Characters>
  <Application>Microsoft Office Word</Application>
  <DocSecurity>0</DocSecurity>
  <Lines>263</Lines>
  <Paragraphs>198</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11297</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subject/>
  <dc:creator>Mohamed Mustafa Ahmed Al Lawati</dc:creator>
  <cp:lastModifiedBy>Omantel</cp:lastModifiedBy>
  <cp:revision>65</cp:revision>
  <cp:lastPrinted>2026-01-13T16:15:00Z</cp:lastPrinted>
  <dcterms:created xsi:type="dcterms:W3CDTF">2018-02-21T08:41:00Z</dcterms:created>
  <dcterms:modified xsi:type="dcterms:W3CDTF">2026-01-13T16:15:00Z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