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9588053" w14:textId="55B50C26" w:rsidR="0029357C" w:rsidRPr="00A70C58" w:rsidRDefault="00BB775A" w:rsidP="0029357C">
      <w:pPr>
        <w:sectPr w:rsidR="0029357C" w:rsidRPr="00A70C58"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r>
        <w:rPr>
          <w:noProof/>
          <w:lang w:val="en-US"/>
        </w:rPr>
        <mc:AlternateContent>
          <mc:Choice Requires="wps">
            <w:drawing>
              <wp:anchor distT="0" distB="0" distL="114300" distR="114300" simplePos="0" relativeHeight="251657216" behindDoc="0" locked="0" layoutInCell="1" allowOverlap="0" wp14:anchorId="0166EDFF" wp14:editId="5638A23E">
                <wp:simplePos x="0" y="0"/>
                <wp:positionH relativeFrom="page">
                  <wp:posOffset>519430</wp:posOffset>
                </wp:positionH>
                <wp:positionV relativeFrom="page">
                  <wp:posOffset>3898900</wp:posOffset>
                </wp:positionV>
                <wp:extent cx="6667500" cy="1257300"/>
                <wp:effectExtent l="0" t="0" r="0" b="0"/>
                <wp:wrapTight wrapText="bothSides">
                  <wp:wrapPolygon edited="0">
                    <wp:start x="0" y="0"/>
                    <wp:lineTo x="0" y="21273"/>
                    <wp:lineTo x="21538" y="21273"/>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257300"/>
                        </a:xfrm>
                        <a:prstGeom prst="rect">
                          <a:avLst/>
                        </a:prstGeom>
                        <a:noFill/>
                        <a:ln>
                          <a:noFill/>
                        </a:ln>
                        <a:extLst>
                          <a:ext uri="{909E8E84-426E-40dd-AFC4-6F175D3DCCD1}"/>
                          <a:ext uri="{91240B29-F687-4f45-9708-019B960494DF}"/>
                        </a:extLst>
                      </wps:spPr>
                      <wps:txbx>
                        <w:txbxContent>
                          <w:p w14:paraId="1DE71D00" w14:textId="77777777" w:rsidR="003F41F3" w:rsidRPr="00822BA3" w:rsidRDefault="003F41F3"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4650452B" w14:textId="77777777" w:rsidR="003F41F3" w:rsidRPr="00822BA3" w:rsidRDefault="003F41F3" w:rsidP="00E31158">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E31158">
                              <w:rPr>
                                <w:rFonts w:ascii="Helvetica" w:hAnsi="Helvetica"/>
                                <w:b w:val="0"/>
                                <w:color w:val="00559B"/>
                                <w:sz w:val="52"/>
                                <w:szCs w:val="52"/>
                              </w:rPr>
                              <w:t xml:space="preserve">Access and </w:t>
                            </w:r>
                            <w:r>
                              <w:rPr>
                                <w:rFonts w:ascii="Helvetica" w:hAnsi="Helvetica"/>
                                <w:b w:val="0"/>
                                <w:color w:val="00559B"/>
                                <w:sz w:val="52"/>
                                <w:szCs w:val="52"/>
                              </w:rPr>
                              <w:t>Interconnect</w:t>
                            </w:r>
                            <w:r w:rsidR="00D261D9">
                              <w:rPr>
                                <w:rFonts w:ascii="Helvetica" w:hAnsi="Helvetica"/>
                                <w:b w:val="0"/>
                                <w:color w:val="00559B"/>
                                <w:sz w:val="52"/>
                                <w:szCs w:val="52"/>
                              </w:rPr>
                              <w:t>ion</w:t>
                            </w:r>
                            <w:r>
                              <w:rPr>
                                <w:rFonts w:ascii="Helvetica" w:hAnsi="Helvetica"/>
                                <w:b w:val="0"/>
                                <w:color w:val="00559B"/>
                                <w:sz w:val="52"/>
                                <w:szCs w:val="52"/>
                              </w:rPr>
                              <w:t xml:space="preserve"> Offer </w:t>
                            </w:r>
                            <w:r w:rsidRPr="00B04545">
                              <w:rPr>
                                <w:rFonts w:ascii="Helvetica" w:hAnsi="Helvetica"/>
                                <w:b w:val="0"/>
                                <w:color w:val="00559B"/>
                                <w:sz w:val="40"/>
                                <w:szCs w:val="40"/>
                              </w:rPr>
                              <w:t xml:space="preserve">Annex </w:t>
                            </w:r>
                            <w:r w:rsidR="004E1484">
                              <w:rPr>
                                <w:rFonts w:ascii="Helvetica" w:hAnsi="Helvetica"/>
                                <w:b w:val="0"/>
                                <w:color w:val="00559B"/>
                                <w:sz w:val="40"/>
                                <w:szCs w:val="40"/>
                              </w:rPr>
                              <w:t>B</w:t>
                            </w:r>
                            <w:r w:rsidRPr="00B04545">
                              <w:rPr>
                                <w:rFonts w:ascii="Helvetica" w:hAnsi="Helvetica"/>
                                <w:b w:val="0"/>
                                <w:color w:val="00559B"/>
                                <w:sz w:val="40"/>
                                <w:szCs w:val="40"/>
                              </w:rPr>
                              <w:t xml:space="preserve"> </w:t>
                            </w:r>
                            <w:r w:rsidR="004E1484">
                              <w:rPr>
                                <w:rFonts w:ascii="Helvetica" w:hAnsi="Helvetica"/>
                                <w:b w:val="0"/>
                                <w:color w:val="00559B"/>
                                <w:sz w:val="40"/>
                                <w:szCs w:val="40"/>
                              </w:rPr>
                              <w:t>Billing and Payment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6EDFF" id="_x0000_t202" coordsize="21600,21600" o:spt="202" path="m,l,21600r21600,l21600,xe">
                <v:stroke joinstyle="miter"/>
                <v:path gradientshapeok="t" o:connecttype="rect"/>
              </v:shapetype>
              <v:shape id="Text Box 7" o:spid="_x0000_s1026" type="#_x0000_t202" style="position:absolute;margin-left:40.9pt;margin-top:307pt;width:525pt;height: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N7PgIAADYEAAAOAAAAZHJzL2Uyb0RvYy54bWysU9tu2zAMfR+wfxD07tpOHSc24hS5NMOA&#10;7gK0+wBFlmNjtqhJSuxs2L+Pkps2296GvQgUKR6S51CLu6FryUlo04AsaHwTUSIkh7KRh4J+edoF&#10;c0qMZbJkLUhR0LMw9G759s2iV7mYQA1tKTRBEGnyXhW0tlblYWh4LTpmbkAJicEKdMcsXvUhLDXr&#10;Eb1rw0kUpWEPulQauDAGvdsxSJcev6oEt5+qyghL2oJib9af2p97d4bLBcsPmqm64c9tsH/oomON&#10;xKIvUFtmGTnq5i+oruEaDFT2hkMXQlU1XPgZcJo4+mOax5op4WdBcox6ocn8P1j+8fRZk6Ys6JQS&#10;yTqU6EkMlqxhIDPHTq9Mjo8eFT6zA7pRZT+pUQ/AvxoiYVMzeRArraGvBSuxu9hlhlepI45xIPv+&#10;A5RYhh0teKCh0p2jDskgiI4qnV+Uca1wdKZpOptGGOIYiyfT2S1eXA2WX9KVNvadgI44o6Aapffw&#10;7PRg7Pj08sRVk7Br2hb9LG/lbw7EHD1YHFNdzLXh1fyRRdn9/H6eBMkkvQ+SqCyD1W6TBOkunk23&#10;t9vNZhv/HLfqKimeJNF6kgW7dD4LkiqZBtksmgdRnK2zNEqyZLvzSVj6UtSz5wgbqbPDfsBmHaV7&#10;KM/Io4ZxmfHzoVGD/k5Jj4tcUPPtyLSgpH0vUQu39RdDX4z9xWCSY2pBLSWjubHj7zgq3RxqRB7V&#10;lrBCvarGM/naxbPKuJxei+eP5Lb/+u5fvX735S8AAAD//wMAUEsDBBQABgAIAAAAIQBu2UOm3gAA&#10;AAsBAAAPAAAAZHJzL2Rvd25yZXYueG1sTI/BTsMwEETvSPyDtUjcqJ0WRSXEqSpET0gVaThwdOJt&#10;YjVeh9ht07/HOcFxZ0azb/LNZHt2wdEbRxKShQCG1DhtqJXwVe2e1sB8UKRV7wgl3NDDpri/y1Wm&#10;3ZVKvBxCy2IJ+UxJ6EIYMs5906FVfuEGpOgd3WhViOfYcj2qayy3PV8KkXKrDMUPnRrwrcPmdDhb&#10;CdtvKt/Nz77+LI+lqaoXQR/pScrHh2n7CizgFP7CMONHdCgiU+3OpD3rJayTSB4kpMlz3DQHktUs&#10;1bO1FMCLnP/fUPwCAAD//wMAUEsBAi0AFAAGAAgAAAAhALaDOJL+AAAA4QEAABMAAAAAAAAAAAAA&#10;AAAAAAAAAFtDb250ZW50X1R5cGVzXS54bWxQSwECLQAUAAYACAAAACEAOP0h/9YAAACUAQAACwAA&#10;AAAAAAAAAAAAAAAvAQAAX3JlbHMvLnJlbHNQSwECLQAUAAYACAAAACEAwCjTez4CAAA2BAAADgAA&#10;AAAAAAAAAAAAAAAuAgAAZHJzL2Uyb0RvYy54bWxQSwECLQAUAAYACAAAACEAbtlDpt4AAAALAQAA&#10;DwAAAAAAAAAAAAAAAACYBAAAZHJzL2Rvd25yZXYueG1sUEsFBgAAAAAEAAQA8wAAAKMFAAAAAA==&#10;" o:allowoverlap="f" filled="f" stroked="f">
                <v:textbox inset="0,0,0,0">
                  <w:txbxContent>
                    <w:p w14:paraId="1DE71D00" w14:textId="77777777" w:rsidR="003F41F3" w:rsidRPr="00822BA3" w:rsidRDefault="003F41F3"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4650452B" w14:textId="77777777" w:rsidR="003F41F3" w:rsidRPr="00822BA3" w:rsidRDefault="003F41F3" w:rsidP="00E31158">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E31158">
                        <w:rPr>
                          <w:rFonts w:ascii="Helvetica" w:hAnsi="Helvetica"/>
                          <w:b w:val="0"/>
                          <w:color w:val="00559B"/>
                          <w:sz w:val="52"/>
                          <w:szCs w:val="52"/>
                        </w:rPr>
                        <w:t xml:space="preserve">Access and </w:t>
                      </w:r>
                      <w:r>
                        <w:rPr>
                          <w:rFonts w:ascii="Helvetica" w:hAnsi="Helvetica"/>
                          <w:b w:val="0"/>
                          <w:color w:val="00559B"/>
                          <w:sz w:val="52"/>
                          <w:szCs w:val="52"/>
                        </w:rPr>
                        <w:t>Interconnect</w:t>
                      </w:r>
                      <w:r w:rsidR="00D261D9">
                        <w:rPr>
                          <w:rFonts w:ascii="Helvetica" w:hAnsi="Helvetica"/>
                          <w:b w:val="0"/>
                          <w:color w:val="00559B"/>
                          <w:sz w:val="52"/>
                          <w:szCs w:val="52"/>
                        </w:rPr>
                        <w:t>ion</w:t>
                      </w:r>
                      <w:r>
                        <w:rPr>
                          <w:rFonts w:ascii="Helvetica" w:hAnsi="Helvetica"/>
                          <w:b w:val="0"/>
                          <w:color w:val="00559B"/>
                          <w:sz w:val="52"/>
                          <w:szCs w:val="52"/>
                        </w:rPr>
                        <w:t xml:space="preserve"> Offer </w:t>
                      </w:r>
                      <w:r w:rsidRPr="00B04545">
                        <w:rPr>
                          <w:rFonts w:ascii="Helvetica" w:hAnsi="Helvetica"/>
                          <w:b w:val="0"/>
                          <w:color w:val="00559B"/>
                          <w:sz w:val="40"/>
                          <w:szCs w:val="40"/>
                        </w:rPr>
                        <w:t xml:space="preserve">Annex </w:t>
                      </w:r>
                      <w:r w:rsidR="004E1484">
                        <w:rPr>
                          <w:rFonts w:ascii="Helvetica" w:hAnsi="Helvetica"/>
                          <w:b w:val="0"/>
                          <w:color w:val="00559B"/>
                          <w:sz w:val="40"/>
                          <w:szCs w:val="40"/>
                        </w:rPr>
                        <w:t>B</w:t>
                      </w:r>
                      <w:r w:rsidRPr="00B04545">
                        <w:rPr>
                          <w:rFonts w:ascii="Helvetica" w:hAnsi="Helvetica"/>
                          <w:b w:val="0"/>
                          <w:color w:val="00559B"/>
                          <w:sz w:val="40"/>
                          <w:szCs w:val="40"/>
                        </w:rPr>
                        <w:t xml:space="preserve"> </w:t>
                      </w:r>
                      <w:r w:rsidR="004E1484">
                        <w:rPr>
                          <w:rFonts w:ascii="Helvetica" w:hAnsi="Helvetica"/>
                          <w:b w:val="0"/>
                          <w:color w:val="00559B"/>
                          <w:sz w:val="40"/>
                          <w:szCs w:val="40"/>
                        </w:rPr>
                        <w:t>Billing and Payment</w:t>
                      </w:r>
                    </w:p>
                  </w:txbxContent>
                </v:textbox>
                <w10:wrap type="tight" anchorx="page" anchory="page"/>
              </v:shape>
            </w:pict>
          </mc:Fallback>
        </mc:AlternateContent>
      </w:r>
    </w:p>
    <w:p w14:paraId="533FE9E9" w14:textId="77777777" w:rsidR="003F41F3" w:rsidRPr="00F2549C" w:rsidRDefault="00A672B4">
      <w:pPr>
        <w:spacing w:after="0" w:line="240" w:lineRule="auto"/>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sidR="00D261D9">
        <w:rPr>
          <w:color w:val="4A93D1"/>
          <w:sz w:val="32"/>
          <w:szCs w:val="32"/>
          <w:u w:val="single"/>
        </w:rPr>
        <w:t>s</w:t>
      </w:r>
    </w:p>
    <w:p w14:paraId="55FD6FED" w14:textId="77777777" w:rsidR="003F41F3" w:rsidRDefault="003F41F3">
      <w:pPr>
        <w:spacing w:after="0" w:line="240" w:lineRule="auto"/>
        <w:rPr>
          <w:rFonts w:eastAsia="Times"/>
          <w:kern w:val="32"/>
          <w:sz w:val="24"/>
        </w:rPr>
      </w:pPr>
    </w:p>
    <w:p w14:paraId="4F2A52BE" w14:textId="679D4092" w:rsidR="00766819" w:rsidRDefault="00D9131B">
      <w:pPr>
        <w:pStyle w:val="TOC1"/>
        <w:rPr>
          <w:rFonts w:asciiTheme="minorHAnsi" w:eastAsiaTheme="minorEastAsia" w:hAnsiTheme="minorHAnsi" w:cstheme="minorBidi"/>
          <w:b w:val="0"/>
          <w:color w:val="auto"/>
          <w:sz w:val="22"/>
          <w:szCs w:val="22"/>
          <w:lang w:val="en-US"/>
        </w:rPr>
      </w:pPr>
      <w:r w:rsidRPr="00325582">
        <w:rPr>
          <w:b w:val="0"/>
          <w:bCs/>
        </w:rPr>
        <w:fldChar w:fldCharType="begin"/>
      </w:r>
      <w:r w:rsidR="0029357C" w:rsidRPr="00325582">
        <w:rPr>
          <w:b w:val="0"/>
          <w:bCs/>
        </w:rPr>
        <w:instrText xml:space="preserve"> TOC \o "1-3" \h \z \u </w:instrText>
      </w:r>
      <w:r w:rsidRPr="00325582">
        <w:rPr>
          <w:b w:val="0"/>
          <w:bCs/>
        </w:rPr>
        <w:fldChar w:fldCharType="separate"/>
      </w:r>
      <w:hyperlink w:anchor="_Toc521161503" w:history="1">
        <w:r w:rsidR="00766819" w:rsidRPr="008B287D">
          <w:rPr>
            <w:rStyle w:val="Hyperlink"/>
          </w:rPr>
          <w:t>1</w:t>
        </w:r>
        <w:r w:rsidR="00766819">
          <w:rPr>
            <w:rFonts w:asciiTheme="minorHAnsi" w:eastAsiaTheme="minorEastAsia" w:hAnsiTheme="minorHAnsi" w:cstheme="minorBidi"/>
            <w:b w:val="0"/>
            <w:color w:val="auto"/>
            <w:sz w:val="22"/>
            <w:szCs w:val="22"/>
            <w:lang w:val="en-US"/>
          </w:rPr>
          <w:tab/>
        </w:r>
        <w:r w:rsidR="00766819" w:rsidRPr="008B287D">
          <w:rPr>
            <w:rStyle w:val="Hyperlink"/>
          </w:rPr>
          <w:t>Definitions</w:t>
        </w:r>
        <w:r w:rsidR="00766819">
          <w:rPr>
            <w:webHidden/>
          </w:rPr>
          <w:tab/>
        </w:r>
        <w:r w:rsidR="00766819">
          <w:rPr>
            <w:webHidden/>
          </w:rPr>
          <w:fldChar w:fldCharType="begin"/>
        </w:r>
        <w:r w:rsidR="00766819">
          <w:rPr>
            <w:webHidden/>
          </w:rPr>
          <w:instrText xml:space="preserve"> PAGEREF _Toc521161503 \h </w:instrText>
        </w:r>
        <w:r w:rsidR="00766819">
          <w:rPr>
            <w:webHidden/>
          </w:rPr>
        </w:r>
        <w:r w:rsidR="00766819">
          <w:rPr>
            <w:webHidden/>
          </w:rPr>
          <w:fldChar w:fldCharType="separate"/>
        </w:r>
        <w:r w:rsidR="004D1729">
          <w:rPr>
            <w:webHidden/>
          </w:rPr>
          <w:t>3</w:t>
        </w:r>
        <w:r w:rsidR="00766819">
          <w:rPr>
            <w:webHidden/>
          </w:rPr>
          <w:fldChar w:fldCharType="end"/>
        </w:r>
      </w:hyperlink>
    </w:p>
    <w:p w14:paraId="25B52E66" w14:textId="30C7844C" w:rsidR="00766819" w:rsidRDefault="00B11412">
      <w:pPr>
        <w:pStyle w:val="TOC1"/>
        <w:rPr>
          <w:rFonts w:asciiTheme="minorHAnsi" w:eastAsiaTheme="minorEastAsia" w:hAnsiTheme="minorHAnsi" w:cstheme="minorBidi"/>
          <w:b w:val="0"/>
          <w:color w:val="auto"/>
          <w:sz w:val="22"/>
          <w:szCs w:val="22"/>
          <w:lang w:val="en-US"/>
        </w:rPr>
      </w:pPr>
      <w:hyperlink w:anchor="_Toc521161504" w:history="1">
        <w:r w:rsidR="00766819" w:rsidRPr="008B287D">
          <w:rPr>
            <w:rStyle w:val="Hyperlink"/>
          </w:rPr>
          <w:t>2</w:t>
        </w:r>
        <w:r w:rsidR="00766819">
          <w:rPr>
            <w:rFonts w:asciiTheme="minorHAnsi" w:eastAsiaTheme="minorEastAsia" w:hAnsiTheme="minorHAnsi" w:cstheme="minorBidi"/>
            <w:b w:val="0"/>
            <w:color w:val="auto"/>
            <w:sz w:val="22"/>
            <w:szCs w:val="22"/>
            <w:lang w:val="en-US"/>
          </w:rPr>
          <w:tab/>
        </w:r>
        <w:r w:rsidR="00766819" w:rsidRPr="008B287D">
          <w:rPr>
            <w:rStyle w:val="Hyperlink"/>
          </w:rPr>
          <w:t>Recording of CDR-data and Billing Information</w:t>
        </w:r>
        <w:r w:rsidR="00766819">
          <w:rPr>
            <w:webHidden/>
          </w:rPr>
          <w:tab/>
        </w:r>
        <w:r w:rsidR="00766819">
          <w:rPr>
            <w:webHidden/>
          </w:rPr>
          <w:fldChar w:fldCharType="begin"/>
        </w:r>
        <w:r w:rsidR="00766819">
          <w:rPr>
            <w:webHidden/>
          </w:rPr>
          <w:instrText xml:space="preserve"> PAGEREF _Toc521161504 \h </w:instrText>
        </w:r>
        <w:r w:rsidR="00766819">
          <w:rPr>
            <w:webHidden/>
          </w:rPr>
        </w:r>
        <w:r w:rsidR="00766819">
          <w:rPr>
            <w:webHidden/>
          </w:rPr>
          <w:fldChar w:fldCharType="separate"/>
        </w:r>
        <w:r w:rsidR="004D1729">
          <w:rPr>
            <w:webHidden/>
          </w:rPr>
          <w:t>5</w:t>
        </w:r>
        <w:r w:rsidR="00766819">
          <w:rPr>
            <w:webHidden/>
          </w:rPr>
          <w:fldChar w:fldCharType="end"/>
        </w:r>
      </w:hyperlink>
    </w:p>
    <w:p w14:paraId="32C1BDB2" w14:textId="1CED4A4D" w:rsidR="00766819" w:rsidRDefault="00B11412">
      <w:pPr>
        <w:pStyle w:val="TOC1"/>
        <w:rPr>
          <w:rFonts w:asciiTheme="minorHAnsi" w:eastAsiaTheme="minorEastAsia" w:hAnsiTheme="minorHAnsi" w:cstheme="minorBidi"/>
          <w:b w:val="0"/>
          <w:color w:val="auto"/>
          <w:sz w:val="22"/>
          <w:szCs w:val="22"/>
          <w:lang w:val="en-US"/>
        </w:rPr>
      </w:pPr>
      <w:hyperlink w:anchor="_Toc521161505" w:history="1">
        <w:r w:rsidR="00766819" w:rsidRPr="008B287D">
          <w:rPr>
            <w:rStyle w:val="Hyperlink"/>
          </w:rPr>
          <w:t>3</w:t>
        </w:r>
        <w:r w:rsidR="00766819">
          <w:rPr>
            <w:rFonts w:asciiTheme="minorHAnsi" w:eastAsiaTheme="minorEastAsia" w:hAnsiTheme="minorHAnsi" w:cstheme="minorBidi"/>
            <w:b w:val="0"/>
            <w:color w:val="auto"/>
            <w:sz w:val="22"/>
            <w:szCs w:val="22"/>
            <w:lang w:val="en-US"/>
          </w:rPr>
          <w:tab/>
        </w:r>
        <w:r w:rsidR="00766819" w:rsidRPr="008B287D">
          <w:rPr>
            <w:rStyle w:val="Hyperlink"/>
          </w:rPr>
          <w:t>Exchange of Billing Information</w:t>
        </w:r>
        <w:r w:rsidR="00766819">
          <w:rPr>
            <w:webHidden/>
          </w:rPr>
          <w:tab/>
        </w:r>
        <w:r w:rsidR="00766819">
          <w:rPr>
            <w:webHidden/>
          </w:rPr>
          <w:fldChar w:fldCharType="begin"/>
        </w:r>
        <w:r w:rsidR="00766819">
          <w:rPr>
            <w:webHidden/>
          </w:rPr>
          <w:instrText xml:space="preserve"> PAGEREF _Toc521161505 \h </w:instrText>
        </w:r>
        <w:r w:rsidR="00766819">
          <w:rPr>
            <w:webHidden/>
          </w:rPr>
        </w:r>
        <w:r w:rsidR="00766819">
          <w:rPr>
            <w:webHidden/>
          </w:rPr>
          <w:fldChar w:fldCharType="separate"/>
        </w:r>
        <w:r w:rsidR="004D1729">
          <w:rPr>
            <w:webHidden/>
          </w:rPr>
          <w:t>7</w:t>
        </w:r>
        <w:r w:rsidR="00766819">
          <w:rPr>
            <w:webHidden/>
          </w:rPr>
          <w:fldChar w:fldCharType="end"/>
        </w:r>
      </w:hyperlink>
    </w:p>
    <w:p w14:paraId="4D9729CF" w14:textId="2C241FD3" w:rsidR="00766819" w:rsidRDefault="00B11412">
      <w:pPr>
        <w:pStyle w:val="TOC1"/>
        <w:rPr>
          <w:rFonts w:asciiTheme="minorHAnsi" w:eastAsiaTheme="minorEastAsia" w:hAnsiTheme="minorHAnsi" w:cstheme="minorBidi"/>
          <w:b w:val="0"/>
          <w:color w:val="auto"/>
          <w:sz w:val="22"/>
          <w:szCs w:val="22"/>
          <w:lang w:val="en-US"/>
        </w:rPr>
      </w:pPr>
      <w:hyperlink w:anchor="_Toc521161506" w:history="1">
        <w:r w:rsidR="00766819" w:rsidRPr="008B287D">
          <w:rPr>
            <w:rStyle w:val="Hyperlink"/>
          </w:rPr>
          <w:t>4</w:t>
        </w:r>
        <w:r w:rsidR="00766819">
          <w:rPr>
            <w:rFonts w:asciiTheme="minorHAnsi" w:eastAsiaTheme="minorEastAsia" w:hAnsiTheme="minorHAnsi" w:cstheme="minorBidi"/>
            <w:b w:val="0"/>
            <w:color w:val="auto"/>
            <w:sz w:val="22"/>
            <w:szCs w:val="22"/>
            <w:lang w:val="en-US"/>
          </w:rPr>
          <w:tab/>
        </w:r>
        <w:r w:rsidR="00766819" w:rsidRPr="008B287D">
          <w:rPr>
            <w:rStyle w:val="Hyperlink"/>
          </w:rPr>
          <w:t>Invoices</w:t>
        </w:r>
        <w:r w:rsidR="00766819">
          <w:rPr>
            <w:webHidden/>
          </w:rPr>
          <w:tab/>
        </w:r>
        <w:r w:rsidR="00766819">
          <w:rPr>
            <w:webHidden/>
          </w:rPr>
          <w:fldChar w:fldCharType="begin"/>
        </w:r>
        <w:r w:rsidR="00766819">
          <w:rPr>
            <w:webHidden/>
          </w:rPr>
          <w:instrText xml:space="preserve"> PAGEREF _Toc521161506 \h </w:instrText>
        </w:r>
        <w:r w:rsidR="00766819">
          <w:rPr>
            <w:webHidden/>
          </w:rPr>
        </w:r>
        <w:r w:rsidR="00766819">
          <w:rPr>
            <w:webHidden/>
          </w:rPr>
          <w:fldChar w:fldCharType="separate"/>
        </w:r>
        <w:r w:rsidR="004D1729">
          <w:rPr>
            <w:webHidden/>
          </w:rPr>
          <w:t>11</w:t>
        </w:r>
        <w:r w:rsidR="00766819">
          <w:rPr>
            <w:webHidden/>
          </w:rPr>
          <w:fldChar w:fldCharType="end"/>
        </w:r>
      </w:hyperlink>
    </w:p>
    <w:p w14:paraId="3B2BC35D" w14:textId="06067D17" w:rsidR="00766819" w:rsidRDefault="00B11412">
      <w:pPr>
        <w:pStyle w:val="TOC1"/>
        <w:rPr>
          <w:rFonts w:asciiTheme="minorHAnsi" w:eastAsiaTheme="minorEastAsia" w:hAnsiTheme="minorHAnsi" w:cstheme="minorBidi"/>
          <w:b w:val="0"/>
          <w:color w:val="auto"/>
          <w:sz w:val="22"/>
          <w:szCs w:val="22"/>
          <w:lang w:val="en-US"/>
        </w:rPr>
      </w:pPr>
      <w:hyperlink w:anchor="_Toc521161507" w:history="1">
        <w:r w:rsidR="00766819" w:rsidRPr="008B287D">
          <w:rPr>
            <w:rStyle w:val="Hyperlink"/>
          </w:rPr>
          <w:t>5</w:t>
        </w:r>
        <w:r w:rsidR="00766819">
          <w:rPr>
            <w:rFonts w:asciiTheme="minorHAnsi" w:eastAsiaTheme="minorEastAsia" w:hAnsiTheme="minorHAnsi" w:cstheme="minorBidi"/>
            <w:b w:val="0"/>
            <w:color w:val="auto"/>
            <w:sz w:val="22"/>
            <w:szCs w:val="22"/>
            <w:lang w:val="en-US"/>
          </w:rPr>
          <w:tab/>
        </w:r>
        <w:r w:rsidR="00766819" w:rsidRPr="008B287D">
          <w:rPr>
            <w:rStyle w:val="Hyperlink"/>
          </w:rPr>
          <w:t>Payments</w:t>
        </w:r>
        <w:r w:rsidR="00766819">
          <w:rPr>
            <w:webHidden/>
          </w:rPr>
          <w:tab/>
        </w:r>
        <w:r w:rsidR="00766819">
          <w:rPr>
            <w:webHidden/>
          </w:rPr>
          <w:fldChar w:fldCharType="begin"/>
        </w:r>
        <w:r w:rsidR="00766819">
          <w:rPr>
            <w:webHidden/>
          </w:rPr>
          <w:instrText xml:space="preserve"> PAGEREF _Toc521161507 \h </w:instrText>
        </w:r>
        <w:r w:rsidR="00766819">
          <w:rPr>
            <w:webHidden/>
          </w:rPr>
        </w:r>
        <w:r w:rsidR="00766819">
          <w:rPr>
            <w:webHidden/>
          </w:rPr>
          <w:fldChar w:fldCharType="separate"/>
        </w:r>
        <w:r w:rsidR="004D1729">
          <w:rPr>
            <w:webHidden/>
          </w:rPr>
          <w:t>13</w:t>
        </w:r>
        <w:r w:rsidR="00766819">
          <w:rPr>
            <w:webHidden/>
          </w:rPr>
          <w:fldChar w:fldCharType="end"/>
        </w:r>
      </w:hyperlink>
    </w:p>
    <w:p w14:paraId="18F2A679" w14:textId="1E95D6CA" w:rsidR="00766819" w:rsidRDefault="00B11412">
      <w:pPr>
        <w:pStyle w:val="TOC1"/>
        <w:rPr>
          <w:rFonts w:asciiTheme="minorHAnsi" w:eastAsiaTheme="minorEastAsia" w:hAnsiTheme="minorHAnsi" w:cstheme="minorBidi"/>
          <w:b w:val="0"/>
          <w:color w:val="auto"/>
          <w:sz w:val="22"/>
          <w:szCs w:val="22"/>
          <w:lang w:val="en-US"/>
        </w:rPr>
      </w:pPr>
      <w:hyperlink w:anchor="_Toc521161508" w:history="1">
        <w:r w:rsidR="00766819" w:rsidRPr="008B287D">
          <w:rPr>
            <w:rStyle w:val="Hyperlink"/>
          </w:rPr>
          <w:t>6</w:t>
        </w:r>
        <w:r w:rsidR="00766819">
          <w:rPr>
            <w:rFonts w:asciiTheme="minorHAnsi" w:eastAsiaTheme="minorEastAsia" w:hAnsiTheme="minorHAnsi" w:cstheme="minorBidi"/>
            <w:b w:val="0"/>
            <w:color w:val="auto"/>
            <w:sz w:val="22"/>
            <w:szCs w:val="22"/>
            <w:lang w:val="en-US"/>
          </w:rPr>
          <w:tab/>
        </w:r>
        <w:r w:rsidR="00766819" w:rsidRPr="008B287D">
          <w:rPr>
            <w:rStyle w:val="Hyperlink"/>
          </w:rPr>
          <w:t>Disputes</w:t>
        </w:r>
        <w:r w:rsidR="00766819">
          <w:rPr>
            <w:webHidden/>
          </w:rPr>
          <w:tab/>
        </w:r>
        <w:r w:rsidR="00766819">
          <w:rPr>
            <w:webHidden/>
          </w:rPr>
          <w:fldChar w:fldCharType="begin"/>
        </w:r>
        <w:r w:rsidR="00766819">
          <w:rPr>
            <w:webHidden/>
          </w:rPr>
          <w:instrText xml:space="preserve"> PAGEREF _Toc521161508 \h </w:instrText>
        </w:r>
        <w:r w:rsidR="00766819">
          <w:rPr>
            <w:webHidden/>
          </w:rPr>
        </w:r>
        <w:r w:rsidR="00766819">
          <w:rPr>
            <w:webHidden/>
          </w:rPr>
          <w:fldChar w:fldCharType="separate"/>
        </w:r>
        <w:r w:rsidR="004D1729">
          <w:rPr>
            <w:webHidden/>
          </w:rPr>
          <w:t>14</w:t>
        </w:r>
        <w:r w:rsidR="00766819">
          <w:rPr>
            <w:webHidden/>
          </w:rPr>
          <w:fldChar w:fldCharType="end"/>
        </w:r>
      </w:hyperlink>
    </w:p>
    <w:p w14:paraId="2FE921B6" w14:textId="2B6A377C" w:rsidR="00766819" w:rsidRDefault="00B11412">
      <w:pPr>
        <w:pStyle w:val="TOC1"/>
        <w:rPr>
          <w:rFonts w:asciiTheme="minorHAnsi" w:eastAsiaTheme="minorEastAsia" w:hAnsiTheme="minorHAnsi" w:cstheme="minorBidi"/>
          <w:b w:val="0"/>
          <w:color w:val="auto"/>
          <w:sz w:val="22"/>
          <w:szCs w:val="22"/>
          <w:lang w:val="en-US"/>
        </w:rPr>
      </w:pPr>
      <w:hyperlink w:anchor="_Toc521161509" w:history="1">
        <w:r w:rsidR="00766819" w:rsidRPr="008B287D">
          <w:rPr>
            <w:rStyle w:val="Hyperlink"/>
          </w:rPr>
          <w:t>7</w:t>
        </w:r>
        <w:r w:rsidR="00766819">
          <w:rPr>
            <w:rFonts w:asciiTheme="minorHAnsi" w:eastAsiaTheme="minorEastAsia" w:hAnsiTheme="minorHAnsi" w:cstheme="minorBidi"/>
            <w:b w:val="0"/>
            <w:color w:val="auto"/>
            <w:sz w:val="22"/>
            <w:szCs w:val="22"/>
            <w:lang w:val="en-US"/>
          </w:rPr>
          <w:tab/>
        </w:r>
        <w:r w:rsidR="00766819" w:rsidRPr="008B287D">
          <w:rPr>
            <w:rStyle w:val="Hyperlink"/>
          </w:rPr>
          <w:t>Persistent Inconsistency</w:t>
        </w:r>
        <w:r w:rsidR="00766819">
          <w:rPr>
            <w:webHidden/>
          </w:rPr>
          <w:tab/>
        </w:r>
        <w:r w:rsidR="00766819">
          <w:rPr>
            <w:webHidden/>
          </w:rPr>
          <w:fldChar w:fldCharType="begin"/>
        </w:r>
        <w:r w:rsidR="00766819">
          <w:rPr>
            <w:webHidden/>
          </w:rPr>
          <w:instrText xml:space="preserve"> PAGEREF _Toc521161509 \h </w:instrText>
        </w:r>
        <w:r w:rsidR="00766819">
          <w:rPr>
            <w:webHidden/>
          </w:rPr>
        </w:r>
        <w:r w:rsidR="00766819">
          <w:rPr>
            <w:webHidden/>
          </w:rPr>
          <w:fldChar w:fldCharType="separate"/>
        </w:r>
        <w:r w:rsidR="004D1729">
          <w:rPr>
            <w:webHidden/>
          </w:rPr>
          <w:t>17</w:t>
        </w:r>
        <w:r w:rsidR="00766819">
          <w:rPr>
            <w:webHidden/>
          </w:rPr>
          <w:fldChar w:fldCharType="end"/>
        </w:r>
      </w:hyperlink>
    </w:p>
    <w:p w14:paraId="7B223C8A" w14:textId="16CCF045" w:rsidR="0029357C" w:rsidRDefault="00D9131B" w:rsidP="00325582">
      <w:pPr>
        <w:pStyle w:val="IndexTOC"/>
        <w:tabs>
          <w:tab w:val="right" w:pos="8805"/>
          <w:tab w:val="right" w:leader="dot" w:pos="9000"/>
        </w:tabs>
        <w:spacing w:after="120"/>
        <w:ind w:right="1886"/>
        <w:rPr>
          <w:color w:val="000000"/>
        </w:rPr>
      </w:pPr>
      <w:r w:rsidRPr="00325582">
        <w:rPr>
          <w:bCs/>
          <w:color w:val="000000"/>
        </w:rPr>
        <w:fldChar w:fldCharType="end"/>
      </w:r>
    </w:p>
    <w:p w14:paraId="6B79734A" w14:textId="77777777" w:rsidR="00047CF7" w:rsidRPr="00653575" w:rsidRDefault="00047CF7" w:rsidP="0029357C">
      <w:pPr>
        <w:pStyle w:val="IndexTOC"/>
        <w:tabs>
          <w:tab w:val="right" w:pos="8805"/>
          <w:tab w:val="right" w:leader="dot" w:pos="9000"/>
        </w:tabs>
        <w:spacing w:after="120"/>
        <w:ind w:right="1882"/>
        <w:rPr>
          <w:color w:val="000000"/>
        </w:rPr>
      </w:pPr>
    </w:p>
    <w:p w14:paraId="2D48D326" w14:textId="77777777" w:rsidR="00D84159" w:rsidRPr="00761CEB" w:rsidRDefault="00F10994" w:rsidP="00F10994">
      <w:pPr>
        <w:pStyle w:val="Heading1"/>
      </w:pPr>
      <w:bookmarkStart w:id="1" w:name="_Toc521161503"/>
      <w:r>
        <w:lastRenderedPageBreak/>
        <w:t>Definitions</w:t>
      </w:r>
      <w:bookmarkEnd w:id="1"/>
    </w:p>
    <w:p w14:paraId="5DD9169E" w14:textId="77777777" w:rsidR="0098721F" w:rsidRPr="00D32813" w:rsidRDefault="0098721F" w:rsidP="0040312B">
      <w:pPr>
        <w:pStyle w:val="ListParagraph"/>
      </w:pPr>
      <w:r w:rsidRPr="00D32813">
        <w:t>In this Annex B, a reference to a clause unless stated otherwise, is a clause of this Annex. Words and expressions appearing herein shall have the meaning given in Annex L, unless otherwise defined in this Annex</w:t>
      </w:r>
      <w:r w:rsidR="00C40468">
        <w:t>:</w:t>
      </w:r>
    </w:p>
    <w:p w14:paraId="6C45A5FB" w14:textId="77777777" w:rsidR="00811ACB" w:rsidRPr="00286EAC" w:rsidRDefault="00811ACB" w:rsidP="00D32813">
      <w:pPr>
        <w:pStyle w:val="ListParagraph2"/>
      </w:pPr>
      <w:r w:rsidRPr="00286EAC">
        <w:t>“</w:t>
      </w:r>
      <w:r w:rsidRPr="00EE5A4D">
        <w:rPr>
          <w:b/>
          <w:bCs/>
        </w:rPr>
        <w:t>Chargeable Call</w:t>
      </w:r>
      <w:r w:rsidRPr="00286EAC">
        <w:t>” A Call (as defined in the Definitions Annex L to this Agreement) shall be deemed a Chargeable Call chargeable in each Billing Period if:</w:t>
      </w:r>
    </w:p>
    <w:p w14:paraId="46FD6E51" w14:textId="77777777" w:rsidR="00811ACB" w:rsidRPr="00D32813" w:rsidRDefault="00811ACB" w:rsidP="00D32813">
      <w:pPr>
        <w:pStyle w:val="ListParagraph3"/>
      </w:pPr>
      <w:r w:rsidRPr="00D32813">
        <w:t>A Call is handed over at a Point of Interconnection and during the SS7 signalling sequence of that Call, the SS7 Initial Address Message (IAM) sent by one Party has been responded to by an SS7 Address Complete or Release Message (ACM or RM) by the terminating or transiting Network Party; and</w:t>
      </w:r>
    </w:p>
    <w:p w14:paraId="037DF511" w14:textId="77777777" w:rsidR="00263724" w:rsidRPr="00A9263A" w:rsidRDefault="00263724" w:rsidP="00263724">
      <w:pPr>
        <w:pStyle w:val="ListParagraph3"/>
      </w:pPr>
      <w:r w:rsidRPr="00286EAC">
        <w:t>A SS7/C7 answer condition/signal in the backward direction has been received by the terminating or transiting Network Party (‘B’ number answer)</w:t>
      </w:r>
      <w:r w:rsidR="00C40468">
        <w:t>.</w:t>
      </w:r>
    </w:p>
    <w:p w14:paraId="122F4646" w14:textId="77777777" w:rsidR="00263724" w:rsidRDefault="00263724" w:rsidP="00263724">
      <w:pPr>
        <w:pStyle w:val="ListParagraph2"/>
      </w:pPr>
      <w:r w:rsidRPr="0090337B">
        <w:t xml:space="preserve">A Chargeable Call shall include a Call that is forwarded by the terminating Party’s Network and a Call terminated onto any network voice mail system (For the avoidance of doubt a network engaged tone, “B” number engaged tone and a “B” number unobtainable tone </w:t>
      </w:r>
      <w:proofErr w:type="gramStart"/>
      <w:r w:rsidRPr="0090337B">
        <w:t>do</w:t>
      </w:r>
      <w:proofErr w:type="gramEnd"/>
      <w:r w:rsidRPr="0090337B">
        <w:t xml:space="preserve"> not constitute a Chargeable Call)</w:t>
      </w:r>
      <w:r>
        <w:t>.</w:t>
      </w:r>
    </w:p>
    <w:p w14:paraId="3AA7AEA4" w14:textId="77777777" w:rsidR="00263724" w:rsidRDefault="00263724" w:rsidP="00263724">
      <w:pPr>
        <w:pStyle w:val="ListParagraph2"/>
      </w:pPr>
      <w:r w:rsidRPr="0090337B">
        <w:t>A Chargeable Call is referred to as a Call in this Annex</w:t>
      </w:r>
      <w:r>
        <w:t>.</w:t>
      </w:r>
    </w:p>
    <w:p w14:paraId="4DE3A0CB" w14:textId="77777777" w:rsidR="00263724" w:rsidRDefault="00263724" w:rsidP="00263724">
      <w:pPr>
        <w:pStyle w:val="ListParagraph2"/>
      </w:pPr>
      <w:r w:rsidRPr="0090337B">
        <w:rPr>
          <w:b/>
        </w:rPr>
        <w:t>“Chargeable Call Duration”</w:t>
      </w:r>
      <w:r w:rsidRPr="0090337B">
        <w:t xml:space="preserve"> is the duration of elapsed time of a Chargeable Call described by Section 1.2.2 of ITU-T D 150 “conversation time”</w:t>
      </w:r>
      <w:r>
        <w:t>.</w:t>
      </w:r>
    </w:p>
    <w:p w14:paraId="309C7612" w14:textId="77777777" w:rsidR="00263724" w:rsidRDefault="00263724" w:rsidP="00263724">
      <w:pPr>
        <w:pStyle w:val="ListParagraph2"/>
      </w:pPr>
      <w:r w:rsidRPr="0090337B">
        <w:rPr>
          <w:b/>
        </w:rPr>
        <w:t>“Traffic</w:t>
      </w:r>
      <w:r w:rsidRPr="0090337B">
        <w:t>” for the purpose of this Annex B means the plural of all Calls in a particular period</w:t>
      </w:r>
      <w:r>
        <w:t>.</w:t>
      </w:r>
    </w:p>
    <w:p w14:paraId="7D6A60B5" w14:textId="77777777" w:rsidR="00EE5A4D" w:rsidRDefault="00263724" w:rsidP="00F10994">
      <w:pPr>
        <w:pStyle w:val="ListParagraph2"/>
      </w:pPr>
      <w:r w:rsidRPr="0090337B">
        <w:rPr>
          <w:b/>
        </w:rPr>
        <w:t xml:space="preserve">“Billing Information” </w:t>
      </w:r>
      <w:r w:rsidRPr="0090337B">
        <w:t xml:space="preserve">means that information which must be provided by the Billing Party in support of invoices issued under this </w:t>
      </w:r>
      <w:r w:rsidR="00F10994">
        <w:t xml:space="preserve">Access and </w:t>
      </w:r>
      <w:r w:rsidRPr="0090337B">
        <w:t>Interconnect</w:t>
      </w:r>
      <w:r w:rsidR="00C40468">
        <w:t>ion</w:t>
      </w:r>
      <w:r w:rsidRPr="0090337B">
        <w:t xml:space="preserve"> Agreement as agreed by the Parties to enable the Billed Party to validate an invoice and for the purposes of this Access </w:t>
      </w:r>
      <w:r w:rsidR="00F10994">
        <w:t xml:space="preserve">and Interconnection </w:t>
      </w:r>
      <w:r w:rsidRPr="0090337B">
        <w:t xml:space="preserve">Agreement the Billing Information shall consist of any or all of the following: </w:t>
      </w:r>
    </w:p>
    <w:p w14:paraId="750D0D97" w14:textId="77777777" w:rsidR="0098721F" w:rsidRDefault="00EE5A4D" w:rsidP="00D261D9">
      <w:pPr>
        <w:pStyle w:val="ListParagraph3"/>
      </w:pPr>
      <w:r>
        <w:t xml:space="preserve">For </w:t>
      </w:r>
      <w:r w:rsidR="00243418">
        <w:t>service which are based on usage such as but not limited to voice, data, SMS</w:t>
      </w:r>
      <w:r w:rsidR="00D261D9">
        <w:t xml:space="preserve">: accumulative </w:t>
      </w:r>
      <w:r w:rsidR="00263724" w:rsidRPr="0090337B">
        <w:t xml:space="preserve">Usage Report, General Report </w:t>
      </w:r>
      <w:r w:rsidR="00D261D9" w:rsidRPr="0090337B">
        <w:t>and Invoice</w:t>
      </w:r>
      <w:r w:rsidR="00263724" w:rsidRPr="0090337B">
        <w:t>.</w:t>
      </w:r>
    </w:p>
    <w:p w14:paraId="10CF5437" w14:textId="77777777" w:rsidR="00EE5A4D" w:rsidRPr="0066499B" w:rsidRDefault="00EE5A4D" w:rsidP="00EE5A4D">
      <w:pPr>
        <w:pStyle w:val="ListParagraph3"/>
      </w:pPr>
      <w:r>
        <w:lastRenderedPageBreak/>
        <w:t xml:space="preserve">For other Services: Capacity, link details, </w:t>
      </w:r>
      <w:r w:rsidR="00C40468">
        <w:t>S</w:t>
      </w:r>
      <w:r>
        <w:t>ervices details, Invoice</w:t>
      </w:r>
      <w:r w:rsidR="00F10994">
        <w:t xml:space="preserve"> or any other information related to a particular </w:t>
      </w:r>
      <w:r w:rsidR="00C40468">
        <w:t>S</w:t>
      </w:r>
      <w:r w:rsidR="00F10994">
        <w:t>ervice</w:t>
      </w:r>
      <w:r>
        <w:t>.</w:t>
      </w:r>
    </w:p>
    <w:p w14:paraId="7CDE8D48" w14:textId="77777777" w:rsidR="00713F36" w:rsidRDefault="00761CEB" w:rsidP="00BF435C">
      <w:pPr>
        <w:pStyle w:val="Heading1"/>
      </w:pPr>
      <w:bookmarkStart w:id="2" w:name="_Ref451952734"/>
      <w:bookmarkStart w:id="3" w:name="_Toc521161504"/>
      <w:r>
        <w:lastRenderedPageBreak/>
        <w:t xml:space="preserve">Recording </w:t>
      </w:r>
      <w:r w:rsidR="00BF435C">
        <w:t xml:space="preserve">of </w:t>
      </w:r>
      <w:r w:rsidR="00D261D9">
        <w:t>C</w:t>
      </w:r>
      <w:r w:rsidR="00BF435C">
        <w:t>DR-data</w:t>
      </w:r>
      <w:r w:rsidR="00255BF4">
        <w:t xml:space="preserve"> </w:t>
      </w:r>
      <w:r>
        <w:t>and Billing Information</w:t>
      </w:r>
      <w:bookmarkEnd w:id="2"/>
      <w:bookmarkEnd w:id="3"/>
    </w:p>
    <w:p w14:paraId="00DEF20E" w14:textId="33A1DEA9" w:rsidR="00761CEB" w:rsidRPr="008B070B" w:rsidRDefault="00761CEB" w:rsidP="00761CEB">
      <w:pPr>
        <w:pStyle w:val="ListParagraph"/>
      </w:pPr>
      <w:r w:rsidRPr="008B070B">
        <w:t>Each Party shall, for which it is or will be the Billing Party, collect and record on an itemised Call basis, and process in accordance with Clause</w:t>
      </w:r>
      <w:r>
        <w:t xml:space="preserve"> </w:t>
      </w:r>
      <w:r w:rsidR="00D9131B">
        <w:fldChar w:fldCharType="begin"/>
      </w:r>
      <w:r>
        <w:instrText xml:space="preserve"> REF _Ref416249130 \r \h </w:instrText>
      </w:r>
      <w:r w:rsidR="00D9131B">
        <w:fldChar w:fldCharType="separate"/>
      </w:r>
      <w:r w:rsidR="004D1729">
        <w:rPr>
          <w:cs/>
        </w:rPr>
        <w:t>‎</w:t>
      </w:r>
      <w:r w:rsidR="004D1729">
        <w:t>2.2</w:t>
      </w:r>
      <w:r w:rsidR="00D9131B">
        <w:fldChar w:fldCharType="end"/>
      </w:r>
      <w:r w:rsidRPr="008B070B">
        <w:t>, CDR Data.</w:t>
      </w:r>
    </w:p>
    <w:p w14:paraId="03F8AFF9" w14:textId="77777777" w:rsidR="00761CEB" w:rsidRDefault="00761CEB" w:rsidP="00C40468">
      <w:pPr>
        <w:pStyle w:val="ListParagraph"/>
      </w:pPr>
      <w:bookmarkStart w:id="4" w:name="_Ref416249094"/>
      <w:bookmarkStart w:id="5" w:name="_Ref416249130"/>
      <w:r w:rsidRPr="008B070B">
        <w:t xml:space="preserve">CDR Data shall in the case of Calls relating to each Call attributable to an Access </w:t>
      </w:r>
      <w:r w:rsidR="00BF435C">
        <w:t xml:space="preserve">and/or Interconnection </w:t>
      </w:r>
      <w:r w:rsidRPr="008B070B">
        <w:t>Service referenced in Annex C of this Agreement, include</w:t>
      </w:r>
      <w:bookmarkEnd w:id="4"/>
      <w:r w:rsidR="00C40468">
        <w:t>:</w:t>
      </w:r>
      <w:bookmarkEnd w:id="5"/>
    </w:p>
    <w:p w14:paraId="76838F5D" w14:textId="77777777" w:rsidR="00761CEB" w:rsidRPr="003F41F3" w:rsidRDefault="00761CEB" w:rsidP="00047CF7">
      <w:pPr>
        <w:pStyle w:val="listParagrapha"/>
      </w:pPr>
      <w:r w:rsidRPr="003F41F3">
        <w:t>Point of Interconnection across which the Call was handed over between the Parties; and</w:t>
      </w:r>
    </w:p>
    <w:p w14:paraId="301FD90E" w14:textId="77777777" w:rsidR="00761CEB" w:rsidRPr="003F41F3" w:rsidRDefault="00761CEB" w:rsidP="00047CF7">
      <w:pPr>
        <w:pStyle w:val="listParagrapha"/>
      </w:pPr>
      <w:r w:rsidRPr="003F41F3">
        <w:t>“B” number contained in the SS7 Call set up sequence (the dialled digits); and</w:t>
      </w:r>
    </w:p>
    <w:p w14:paraId="50D6C8D3" w14:textId="77777777" w:rsidR="00761CEB" w:rsidRPr="003F41F3" w:rsidRDefault="00761CEB" w:rsidP="00047CF7">
      <w:pPr>
        <w:pStyle w:val="listParagrapha"/>
      </w:pPr>
      <w:r w:rsidRPr="003F41F3">
        <w:t>“A” number contained in the SS7 Call set up sequence</w:t>
      </w:r>
      <w:r w:rsidR="00C40468">
        <w:t>;</w:t>
      </w:r>
      <w:r w:rsidRPr="003F41F3">
        <w:t xml:space="preserve"> and</w:t>
      </w:r>
    </w:p>
    <w:p w14:paraId="5AE31F37" w14:textId="77777777" w:rsidR="00761CEB" w:rsidRPr="003F41F3" w:rsidRDefault="00761CEB" w:rsidP="00047CF7">
      <w:pPr>
        <w:pStyle w:val="listParagrapha"/>
      </w:pPr>
      <w:r w:rsidRPr="003F41F3">
        <w:t>the date and the time when the SS7 Answer Signal in the backward direction is detected by the relevant POI interconnected Switch/MSC of the Billing Party</w:t>
      </w:r>
      <w:r w:rsidR="00C40468">
        <w:t>; and</w:t>
      </w:r>
    </w:p>
    <w:p w14:paraId="563175A5" w14:textId="77777777" w:rsidR="00761CEB" w:rsidRPr="003F41F3" w:rsidRDefault="00761CEB" w:rsidP="00047CF7">
      <w:pPr>
        <w:pStyle w:val="listParagrapha"/>
      </w:pPr>
      <w:r w:rsidRPr="003F41F3">
        <w:t>Cha</w:t>
      </w:r>
      <w:r w:rsidR="00940910">
        <w:t>rgeable Call Duration</w:t>
      </w:r>
      <w:r w:rsidR="00C40468">
        <w:t>.</w:t>
      </w:r>
    </w:p>
    <w:p w14:paraId="427B0DAA" w14:textId="77C6D95E" w:rsidR="00761CEB" w:rsidRPr="008B070B" w:rsidRDefault="00925E14" w:rsidP="00925E14">
      <w:pPr>
        <w:pStyle w:val="ListParagraph"/>
      </w:pPr>
      <w:r>
        <w:t xml:space="preserve"> </w:t>
      </w:r>
      <w:r w:rsidRPr="00925E14">
        <w:t>The Billing Party shall provide reasonable supporting information with the invoice to enable the non-billing Party to validate the invoice. The Parties acknowledge that a Party may, at any time, call for the delivery of CDR no later than twelve (12) months after the relevant services have been supplied and in respect of no more than three (3) months’ CDR. In the event that more than three months’ CDRs are required, the charges for providing SMS CDR will be 500 OMR per month, Voice CDR will be 700 OMR per month and for each other Service, the charge will be 1,000 OMR per month. In the event that the CDRs are requested and used with respect to a Billing Dispute, the Billing Party shall provide to the Billed Party all appropriate and relevant CDR Data, and in the event that any charges have been raised in relation to providing such CDR data, if it is found later that the Billing Dispute was raised correctly, then the charges relating to the provision of CDRs will be credited.</w:t>
      </w:r>
    </w:p>
    <w:p w14:paraId="05C7FA9E" w14:textId="77777777" w:rsidR="00761CEB" w:rsidRPr="008B070B" w:rsidRDefault="00761CEB">
      <w:pPr>
        <w:pStyle w:val="ListParagraph"/>
      </w:pPr>
      <w:r w:rsidRPr="008B070B">
        <w:t xml:space="preserve">The above-mentioned CDR data shall form the basis of calculation on the number and duration of Calls and money owed for a particular Interconnection Service in the relevant Usage Report and Invoice.  </w:t>
      </w:r>
    </w:p>
    <w:p w14:paraId="63E63A4A" w14:textId="3A567560" w:rsidR="00312B0F" w:rsidRDefault="0032438C" w:rsidP="0054394F">
      <w:pPr>
        <w:pStyle w:val="ListParagraph"/>
      </w:pPr>
      <w:r>
        <w:t>Left blank.</w:t>
      </w:r>
    </w:p>
    <w:p w14:paraId="1257203F" w14:textId="3EEAFCAC" w:rsidR="00761CEB" w:rsidRDefault="00761CEB" w:rsidP="0034323C">
      <w:pPr>
        <w:pStyle w:val="ListParagraph"/>
      </w:pPr>
      <w:r w:rsidRPr="008B070B">
        <w:lastRenderedPageBreak/>
        <w:t xml:space="preserve">All Calls will be recorded in seconds unless stated otherwise in the applicable </w:t>
      </w:r>
      <w:r w:rsidR="0048410F">
        <w:t xml:space="preserve">Access and </w:t>
      </w:r>
      <w:r w:rsidRPr="008B070B">
        <w:t>Interconnection Service Sub Annex of Annex C</w:t>
      </w:r>
      <w:r w:rsidR="00EE430D">
        <w:t xml:space="preserve"> </w:t>
      </w:r>
      <w:r w:rsidR="00255BF4">
        <w:t>and/</w:t>
      </w:r>
      <w:r w:rsidR="00EE430D">
        <w:t>or Annex M</w:t>
      </w:r>
      <w:r>
        <w:t>.</w:t>
      </w:r>
    </w:p>
    <w:p w14:paraId="337CD1ED" w14:textId="77777777" w:rsidR="00761CEB" w:rsidRPr="008B070B" w:rsidRDefault="00761CEB" w:rsidP="00255BF4">
      <w:pPr>
        <w:pStyle w:val="ListParagraph"/>
      </w:pPr>
      <w:r w:rsidRPr="008B070B">
        <w:t xml:space="preserve">All Tariffs as set out in </w:t>
      </w:r>
      <w:r w:rsidR="00255BF4">
        <w:t>Sub Annex M and</w:t>
      </w:r>
      <w:r w:rsidR="00C40468">
        <w:t>/</w:t>
      </w:r>
      <w:r w:rsidR="00255BF4">
        <w:t xml:space="preserve">or </w:t>
      </w:r>
      <w:r w:rsidRPr="008B070B">
        <w:t xml:space="preserve">Sub Annexes of Annex C to this </w:t>
      </w:r>
      <w:r w:rsidR="00C40468">
        <w:t>A</w:t>
      </w:r>
      <w:r w:rsidRPr="008B070B">
        <w:t xml:space="preserve">greement of both Parties are in Omani </w:t>
      </w:r>
      <w:proofErr w:type="spellStart"/>
      <w:r w:rsidRPr="008B070B">
        <w:t>Rials</w:t>
      </w:r>
      <w:proofErr w:type="spellEnd"/>
      <w:r w:rsidRPr="008B070B">
        <w:t>, unless stated otherwise.</w:t>
      </w:r>
    </w:p>
    <w:p w14:paraId="568E3E0C" w14:textId="12228302" w:rsidR="00761CEB" w:rsidRDefault="00761CEB" w:rsidP="00820520">
      <w:pPr>
        <w:pStyle w:val="ListParagraph"/>
      </w:pPr>
      <w:r w:rsidRPr="0090337B">
        <w:t>If a Call extends over 2 or more Tariff Time Periods</w:t>
      </w:r>
      <w:r w:rsidR="009F107B">
        <w:t>,</w:t>
      </w:r>
      <w:r w:rsidRPr="0090337B">
        <w:t xml:space="preserve"> the said Call shall be recorded as one (1) single Call. The Chargeable Call Duration shall be calculated according to the tariff applicable to the Tariff Time Period in which the Call commenced.</w:t>
      </w:r>
    </w:p>
    <w:p w14:paraId="29EF411B" w14:textId="11CE92E7" w:rsidR="00761CEB" w:rsidRDefault="00761CEB" w:rsidP="00820520">
      <w:pPr>
        <w:pStyle w:val="ListParagraph"/>
      </w:pPr>
      <w:r w:rsidRPr="0090337B">
        <w:t>If a Call commences in one Billing Period and ends in another Billing Period</w:t>
      </w:r>
      <w:r w:rsidR="009F107B">
        <w:t>,</w:t>
      </w:r>
      <w:r w:rsidRPr="0090337B">
        <w:t xml:space="preserve"> it shall be recorded as one call in the Billing Period in which it commenced.</w:t>
      </w:r>
    </w:p>
    <w:p w14:paraId="5AA16E1E" w14:textId="77777777" w:rsidR="00761CEB" w:rsidRPr="008B070B" w:rsidRDefault="00761CEB" w:rsidP="00820520">
      <w:pPr>
        <w:pStyle w:val="ListParagraph"/>
      </w:pPr>
      <w:r w:rsidRPr="0090337B">
        <w:t>If a call commences in one 24-hour day (00:00:00 hours to 23:59:59 hours), and finishes in the next day, it is counted as one call in the 24-hour day in which it commenced.</w:t>
      </w:r>
      <w:bookmarkStart w:id="6" w:name="_Toc474290060"/>
    </w:p>
    <w:bookmarkEnd w:id="6"/>
    <w:p w14:paraId="7E0A4F69" w14:textId="1781DF74" w:rsidR="00761CEB" w:rsidRPr="008B070B" w:rsidRDefault="00761CEB" w:rsidP="00A9296D">
      <w:pPr>
        <w:pStyle w:val="ListParagraph"/>
      </w:pPr>
      <w:r w:rsidRPr="008B070B">
        <w:t xml:space="preserve">Each </w:t>
      </w:r>
      <w:r w:rsidR="00FE7C66">
        <w:t xml:space="preserve">Interconnection </w:t>
      </w:r>
      <w:r w:rsidRPr="008B070B">
        <w:t>Call Duration</w:t>
      </w:r>
      <w:r w:rsidRPr="008B070B">
        <w:rPr>
          <w:i/>
        </w:rPr>
        <w:t xml:space="preserve"> </w:t>
      </w:r>
      <w:r w:rsidRPr="008B070B">
        <w:t>shall be recorded in seconds. Seconds shall be rounded up to the nearest whole second. Sec</w:t>
      </w:r>
      <w:r w:rsidR="00820520">
        <w:t>onds shall not be rounded down.</w:t>
      </w:r>
      <w:r w:rsidR="00FE7C66">
        <w:t xml:space="preserve"> All calls other than Interconnection calls shall be recorded in accordance </w:t>
      </w:r>
      <w:r w:rsidR="00693629">
        <w:t>with</w:t>
      </w:r>
      <w:r w:rsidR="00FE7C66">
        <w:t xml:space="preserve"> the relative annex of that particular Service.</w:t>
      </w:r>
    </w:p>
    <w:p w14:paraId="6C95592A" w14:textId="4F71788A" w:rsidR="00761CEB" w:rsidRDefault="00761CEB" w:rsidP="00A9143E">
      <w:pPr>
        <w:pStyle w:val="ListParagraph"/>
      </w:pPr>
      <w:bookmarkStart w:id="7" w:name="_Ref331672347"/>
      <w:bookmarkStart w:id="8" w:name="_Ref331672779"/>
      <w:r w:rsidRPr="008B070B">
        <w:t>Any one off/installation, monthly or quarterly recurring charges will be contained in the Service General Report (see</w:t>
      </w:r>
      <w:r>
        <w:t xml:space="preserve"> </w:t>
      </w:r>
      <w:r w:rsidR="00D9131B">
        <w:fldChar w:fldCharType="begin"/>
      </w:r>
      <w:r w:rsidR="00A9143E">
        <w:instrText xml:space="preserve"> REF _Ref331672658 \r \h </w:instrText>
      </w:r>
      <w:r w:rsidR="00D9131B">
        <w:fldChar w:fldCharType="separate"/>
      </w:r>
      <w:r w:rsidR="004D1729">
        <w:rPr>
          <w:cs/>
        </w:rPr>
        <w:t>‎</w:t>
      </w:r>
      <w:r w:rsidR="004D1729">
        <w:t>3.1.2</w:t>
      </w:r>
      <w:r w:rsidR="00D9131B">
        <w:fldChar w:fldCharType="end"/>
      </w:r>
      <w:r w:rsidR="00A9143E">
        <w:t xml:space="preserve"> </w:t>
      </w:r>
      <w:r w:rsidRPr="008B070B">
        <w:t>below) of the applicable Billing Period. In the first Billing Period of a new or additional capacity</w:t>
      </w:r>
      <w:r w:rsidR="009677BF">
        <w:t xml:space="preserve"> Service</w:t>
      </w:r>
      <w:r w:rsidRPr="008B070B">
        <w:t>, the charges will be calculated on a pro rata basis from the date commercial operations commenced in that month</w:t>
      </w:r>
      <w:bookmarkEnd w:id="7"/>
      <w:r>
        <w:t>.</w:t>
      </w:r>
      <w:bookmarkEnd w:id="8"/>
    </w:p>
    <w:p w14:paraId="388AA15C" w14:textId="1F29368F" w:rsidR="00761CEB" w:rsidRDefault="00761CEB" w:rsidP="00A9143E">
      <w:pPr>
        <w:pStyle w:val="ListParagraph"/>
      </w:pPr>
      <w:r w:rsidRPr="008B070B">
        <w:t xml:space="preserve">All CDR Data shall be processed in accordance with the requirements of Clause </w:t>
      </w:r>
      <w:r w:rsidR="00D9131B">
        <w:fldChar w:fldCharType="begin"/>
      </w:r>
      <w:r w:rsidR="00A9143E">
        <w:instrText xml:space="preserve"> REF _Ref416256275 \r \h </w:instrText>
      </w:r>
      <w:r w:rsidR="00D9131B">
        <w:fldChar w:fldCharType="separate"/>
      </w:r>
      <w:r w:rsidR="004D1729">
        <w:rPr>
          <w:cs/>
        </w:rPr>
        <w:t>‎</w:t>
      </w:r>
      <w:r w:rsidR="004D1729">
        <w:t>3</w:t>
      </w:r>
      <w:r w:rsidR="00D9131B">
        <w:fldChar w:fldCharType="end"/>
      </w:r>
      <w:r w:rsidRPr="008B070B">
        <w:t xml:space="preserve"> of this Annex B.</w:t>
      </w:r>
    </w:p>
    <w:p w14:paraId="1D5ABA3B" w14:textId="7EE104CB" w:rsidR="005A1696" w:rsidRDefault="00255BF4" w:rsidP="0021139C">
      <w:pPr>
        <w:pStyle w:val="ListParagraph"/>
      </w:pPr>
      <w:r>
        <w:t xml:space="preserve">Access and Interconnection Services that have no CDR data shall contain information related to that particular </w:t>
      </w:r>
      <w:r w:rsidR="009677BF">
        <w:t>S</w:t>
      </w:r>
      <w:r>
        <w:t>ervice</w:t>
      </w:r>
      <w:r w:rsidR="0098446D">
        <w:t xml:space="preserve"> and the above clauses </w:t>
      </w:r>
      <w:r w:rsidR="0040312B">
        <w:t xml:space="preserve">in Clause </w:t>
      </w:r>
      <w:r w:rsidR="0040312B">
        <w:fldChar w:fldCharType="begin"/>
      </w:r>
      <w:r w:rsidR="0040312B">
        <w:instrText xml:space="preserve"> REF _Ref451952734 \r \h </w:instrText>
      </w:r>
      <w:r w:rsidR="0040312B">
        <w:fldChar w:fldCharType="separate"/>
      </w:r>
      <w:r w:rsidR="004D1729">
        <w:rPr>
          <w:cs/>
        </w:rPr>
        <w:t>‎</w:t>
      </w:r>
      <w:r w:rsidR="004D1729">
        <w:t>2</w:t>
      </w:r>
      <w:r w:rsidR="0040312B">
        <w:fldChar w:fldCharType="end"/>
      </w:r>
      <w:r w:rsidR="0040312B">
        <w:t xml:space="preserve"> </w:t>
      </w:r>
      <w:r w:rsidR="0098446D">
        <w:t>are also applicable to non-voice traffic wherever is applicable.</w:t>
      </w:r>
    </w:p>
    <w:p w14:paraId="3CA731AA" w14:textId="77777777" w:rsidR="005A6991" w:rsidRDefault="00C55A42" w:rsidP="00761CEB">
      <w:pPr>
        <w:pStyle w:val="Heading1"/>
      </w:pPr>
      <w:bookmarkStart w:id="9" w:name="_Ref416256275"/>
      <w:bookmarkStart w:id="10" w:name="_Toc521161505"/>
      <w:r>
        <w:lastRenderedPageBreak/>
        <w:t>Exchange of Billing Information</w:t>
      </w:r>
      <w:bookmarkEnd w:id="9"/>
      <w:bookmarkEnd w:id="10"/>
    </w:p>
    <w:p w14:paraId="7529247D" w14:textId="77777777" w:rsidR="00C55A42" w:rsidRPr="008B070B" w:rsidRDefault="00C55A42" w:rsidP="00A9143E">
      <w:pPr>
        <w:pStyle w:val="ListParagraph"/>
      </w:pPr>
      <w:r w:rsidRPr="008B070B">
        <w:t>The Billing Party shall process the CDR Data with respect to Calls so as to produce the following Billing Information</w:t>
      </w:r>
      <w:r w:rsidR="009677BF">
        <w:t>:</w:t>
      </w:r>
    </w:p>
    <w:p w14:paraId="4669D887" w14:textId="77777777" w:rsidR="00C55A42" w:rsidRPr="00A9263A" w:rsidRDefault="00C55A42" w:rsidP="000769CF">
      <w:pPr>
        <w:pStyle w:val="ListParagraph2"/>
      </w:pPr>
      <w:bookmarkStart w:id="11" w:name="_Ref419632259"/>
      <w:r w:rsidRPr="00A9263A">
        <w:t>Invoices for the relevant Billing Period – supported by the Service Usage Report and the Service General Report for the same Billing Period regarding Services contained in Annex C and its Sub</w:t>
      </w:r>
      <w:r w:rsidR="00BE19C1">
        <w:t xml:space="preserve"> A</w:t>
      </w:r>
      <w:r w:rsidRPr="00A9263A">
        <w:t>nnexes supplied to the other Party.</w:t>
      </w:r>
      <w:bookmarkEnd w:id="11"/>
    </w:p>
    <w:p w14:paraId="65A49C77" w14:textId="77777777" w:rsidR="00C55A42" w:rsidRPr="008B070B" w:rsidRDefault="00C55A42" w:rsidP="00C55A42">
      <w:pPr>
        <w:pStyle w:val="ListParagraph2"/>
      </w:pPr>
      <w:bookmarkStart w:id="12" w:name="_Ref331672658"/>
      <w:r w:rsidRPr="008B070B">
        <w:t>Service General Report – containing monthly/quarterly/annual fixed recurring charges and non-recurring charges.</w:t>
      </w:r>
      <w:bookmarkEnd w:id="12"/>
    </w:p>
    <w:p w14:paraId="771370DF" w14:textId="77777777" w:rsidR="00C55A42" w:rsidRPr="008B070B" w:rsidRDefault="00C55A42" w:rsidP="00BA1F5C">
      <w:pPr>
        <w:pStyle w:val="ListParagraph2"/>
      </w:pPr>
      <w:r w:rsidRPr="008B070B">
        <w:t>Service Usage Report - containing summarized Call traffic for all Services provided.</w:t>
      </w:r>
    </w:p>
    <w:p w14:paraId="3FDE0D94" w14:textId="08ADA042" w:rsidR="00C55A42" w:rsidRPr="00C55A42" w:rsidRDefault="00C55A42" w:rsidP="0095392C">
      <w:pPr>
        <w:pStyle w:val="ListParagraph2"/>
      </w:pPr>
      <w:r w:rsidRPr="008B070B">
        <w:t>Th</w:t>
      </w:r>
      <w:r w:rsidR="00B06EC6">
        <w:t xml:space="preserve">e matrix outlined below in </w:t>
      </w:r>
      <w:r w:rsidR="00D9131B">
        <w:fldChar w:fldCharType="begin"/>
      </w:r>
      <w:r w:rsidR="00B06EC6">
        <w:instrText xml:space="preserve"> REF _Ref419633137 \h </w:instrText>
      </w:r>
      <w:r w:rsidR="00D9131B">
        <w:fldChar w:fldCharType="separate"/>
      </w:r>
      <w:r w:rsidR="004D1729" w:rsidRPr="0070363B">
        <w:t xml:space="preserve">Table </w:t>
      </w:r>
      <w:r w:rsidR="004D1729">
        <w:rPr>
          <w:noProof/>
          <w:cs/>
        </w:rPr>
        <w:t>‎</w:t>
      </w:r>
      <w:r w:rsidR="004D1729">
        <w:rPr>
          <w:noProof/>
        </w:rPr>
        <w:t>3</w:t>
      </w:r>
      <w:r w:rsidR="004D1729">
        <w:noBreakHyphen/>
      </w:r>
      <w:r w:rsidR="004D1729">
        <w:rPr>
          <w:noProof/>
        </w:rPr>
        <w:t>1</w:t>
      </w:r>
      <w:r w:rsidR="00D9131B">
        <w:fldChar w:fldCharType="end"/>
      </w:r>
      <w:r w:rsidRPr="008B070B">
        <w:t>, which shall be referred to as the Usage Report</w:t>
      </w:r>
      <w:r w:rsidR="0095392C">
        <w:t xml:space="preserve"> of the Interconnection minutes</w:t>
      </w:r>
      <w:r w:rsidRPr="00C55A42">
        <w:t>.</w:t>
      </w:r>
    </w:p>
    <w:tbl>
      <w:tblPr>
        <w:tblStyle w:val="TableGridLight1"/>
        <w:tblW w:w="8830" w:type="dxa"/>
        <w:tblInd w:w="885" w:type="dxa"/>
        <w:tblLayout w:type="fixed"/>
        <w:tblLook w:val="04A0" w:firstRow="1" w:lastRow="0" w:firstColumn="1" w:lastColumn="0" w:noHBand="0" w:noVBand="1"/>
      </w:tblPr>
      <w:tblGrid>
        <w:gridCol w:w="1990"/>
        <w:gridCol w:w="2430"/>
        <w:gridCol w:w="2070"/>
        <w:gridCol w:w="2340"/>
      </w:tblGrid>
      <w:tr w:rsidR="00C55A42" w:rsidRPr="00C55A42" w14:paraId="332120AA" w14:textId="77777777" w:rsidTr="00C55A42">
        <w:trPr>
          <w:trHeight w:val="571"/>
        </w:trPr>
        <w:tc>
          <w:tcPr>
            <w:tcW w:w="1990" w:type="dxa"/>
            <w:shd w:val="clear" w:color="auto" w:fill="4A93D1"/>
            <w:vAlign w:val="center"/>
          </w:tcPr>
          <w:p w14:paraId="44BBB644" w14:textId="77777777" w:rsidR="00C55A42" w:rsidRPr="00C55A42" w:rsidRDefault="00C55A42" w:rsidP="003F41F3">
            <w:pPr>
              <w:pStyle w:val="Table"/>
              <w:rPr>
                <w:b/>
                <w:bCs/>
                <w:color w:val="FFFFFF" w:themeColor="background1"/>
                <w:sz w:val="22"/>
                <w:szCs w:val="22"/>
              </w:rPr>
            </w:pPr>
            <w:r w:rsidRPr="00C55A42">
              <w:rPr>
                <w:b/>
                <w:bCs/>
                <w:color w:val="FFFFFF" w:themeColor="background1"/>
                <w:sz w:val="22"/>
                <w:szCs w:val="22"/>
              </w:rPr>
              <w:t>Call type</w:t>
            </w:r>
          </w:p>
        </w:tc>
        <w:tc>
          <w:tcPr>
            <w:tcW w:w="6840" w:type="dxa"/>
            <w:gridSpan w:val="3"/>
            <w:shd w:val="clear" w:color="auto" w:fill="4A93D1"/>
            <w:vAlign w:val="center"/>
          </w:tcPr>
          <w:p w14:paraId="704C1DD3" w14:textId="77777777" w:rsidR="00C55A42" w:rsidRPr="00C55A42" w:rsidRDefault="00C55A42" w:rsidP="003F41F3">
            <w:pPr>
              <w:pStyle w:val="Table"/>
              <w:rPr>
                <w:b/>
                <w:bCs/>
                <w:color w:val="FFFFFF" w:themeColor="background1"/>
                <w:sz w:val="22"/>
                <w:szCs w:val="22"/>
              </w:rPr>
            </w:pPr>
          </w:p>
        </w:tc>
      </w:tr>
      <w:tr w:rsidR="00C55A42" w:rsidRPr="00C55A42" w14:paraId="17E21D90" w14:textId="77777777" w:rsidTr="00C55A42">
        <w:trPr>
          <w:trHeight w:val="1111"/>
        </w:trPr>
        <w:tc>
          <w:tcPr>
            <w:tcW w:w="1990" w:type="dxa"/>
            <w:vAlign w:val="center"/>
          </w:tcPr>
          <w:p w14:paraId="18EEDAB9" w14:textId="77777777" w:rsidR="00C55A42" w:rsidRPr="00C55A42" w:rsidRDefault="00C55A42" w:rsidP="00C55A42">
            <w:pPr>
              <w:pStyle w:val="Table"/>
              <w:rPr>
                <w:sz w:val="22"/>
                <w:szCs w:val="22"/>
              </w:rPr>
            </w:pPr>
            <w:r w:rsidRPr="00C55A42">
              <w:rPr>
                <w:sz w:val="22"/>
                <w:szCs w:val="22"/>
              </w:rPr>
              <w:t>Service Type</w:t>
            </w:r>
          </w:p>
        </w:tc>
        <w:tc>
          <w:tcPr>
            <w:tcW w:w="2430" w:type="dxa"/>
            <w:vAlign w:val="center"/>
          </w:tcPr>
          <w:p w14:paraId="1E49B131" w14:textId="77777777" w:rsidR="00C55A42" w:rsidRDefault="00C55A42" w:rsidP="00C55A42">
            <w:pPr>
              <w:pStyle w:val="Table"/>
              <w:rPr>
                <w:sz w:val="22"/>
                <w:szCs w:val="22"/>
              </w:rPr>
            </w:pPr>
            <w:r w:rsidRPr="00C55A42">
              <w:rPr>
                <w:sz w:val="22"/>
                <w:szCs w:val="22"/>
              </w:rPr>
              <w:t>Total Number of Calls</w:t>
            </w:r>
          </w:p>
          <w:p w14:paraId="0C1F714E" w14:textId="77777777" w:rsidR="00C55A42" w:rsidRPr="00C55A42" w:rsidRDefault="00C55A42" w:rsidP="00C55A42">
            <w:pPr>
              <w:pStyle w:val="Table"/>
              <w:rPr>
                <w:sz w:val="22"/>
                <w:szCs w:val="22"/>
              </w:rPr>
            </w:pPr>
            <w:r>
              <w:rPr>
                <w:sz w:val="22"/>
                <w:szCs w:val="22"/>
              </w:rPr>
              <w:t>N</w:t>
            </w:r>
          </w:p>
        </w:tc>
        <w:tc>
          <w:tcPr>
            <w:tcW w:w="2070" w:type="dxa"/>
            <w:vAlign w:val="center"/>
          </w:tcPr>
          <w:p w14:paraId="2D4A8245" w14:textId="77777777" w:rsidR="00C55A42" w:rsidRDefault="00C55A42" w:rsidP="00C55A42">
            <w:pPr>
              <w:pStyle w:val="Table"/>
              <w:rPr>
                <w:sz w:val="22"/>
                <w:szCs w:val="22"/>
              </w:rPr>
            </w:pPr>
            <w:r w:rsidRPr="00C55A42">
              <w:rPr>
                <w:sz w:val="22"/>
                <w:szCs w:val="22"/>
              </w:rPr>
              <w:t>Total Duration</w:t>
            </w:r>
          </w:p>
          <w:p w14:paraId="1E746F1B" w14:textId="77777777" w:rsidR="00C55A42" w:rsidRPr="00C55A42" w:rsidRDefault="00C55A42" w:rsidP="00C55A42">
            <w:pPr>
              <w:pStyle w:val="Table"/>
              <w:rPr>
                <w:sz w:val="22"/>
                <w:szCs w:val="22"/>
              </w:rPr>
            </w:pPr>
            <w:r>
              <w:rPr>
                <w:sz w:val="22"/>
                <w:szCs w:val="22"/>
              </w:rPr>
              <w:t>M</w:t>
            </w:r>
          </w:p>
        </w:tc>
        <w:tc>
          <w:tcPr>
            <w:tcW w:w="2340" w:type="dxa"/>
            <w:vAlign w:val="center"/>
          </w:tcPr>
          <w:p w14:paraId="73D710B5" w14:textId="77777777" w:rsidR="00C55A42" w:rsidRDefault="00C55A42" w:rsidP="00C55A42">
            <w:pPr>
              <w:pStyle w:val="Table"/>
              <w:rPr>
                <w:sz w:val="22"/>
                <w:szCs w:val="22"/>
              </w:rPr>
            </w:pPr>
            <w:r>
              <w:rPr>
                <w:sz w:val="22"/>
                <w:szCs w:val="22"/>
              </w:rPr>
              <w:t>Total Revenue</w:t>
            </w:r>
          </w:p>
          <w:p w14:paraId="1CA8EEE9" w14:textId="77777777" w:rsidR="00C55A42" w:rsidRPr="00C55A42" w:rsidRDefault="00C55A42" w:rsidP="00C55A42">
            <w:pPr>
              <w:pStyle w:val="Table"/>
              <w:rPr>
                <w:sz w:val="22"/>
                <w:szCs w:val="22"/>
              </w:rPr>
            </w:pPr>
            <w:r>
              <w:rPr>
                <w:sz w:val="22"/>
                <w:szCs w:val="22"/>
              </w:rPr>
              <w:t>R</w:t>
            </w:r>
          </w:p>
        </w:tc>
      </w:tr>
      <w:tr w:rsidR="00C55A42" w:rsidRPr="00C55A42" w14:paraId="2ED647EB" w14:textId="77777777" w:rsidTr="00C55A42">
        <w:trPr>
          <w:trHeight w:val="1165"/>
        </w:trPr>
        <w:tc>
          <w:tcPr>
            <w:tcW w:w="1990" w:type="dxa"/>
            <w:vAlign w:val="center"/>
          </w:tcPr>
          <w:p w14:paraId="5894EAA3" w14:textId="77777777" w:rsidR="00C55A42" w:rsidRPr="00C55A42" w:rsidRDefault="00C55A42" w:rsidP="00C55A42">
            <w:pPr>
              <w:pStyle w:val="Table"/>
              <w:rPr>
                <w:sz w:val="22"/>
                <w:szCs w:val="22"/>
              </w:rPr>
            </w:pPr>
            <w:r w:rsidRPr="00C55A42">
              <w:rPr>
                <w:sz w:val="22"/>
                <w:szCs w:val="22"/>
              </w:rPr>
              <w:t xml:space="preserve">Total </w:t>
            </w:r>
          </w:p>
        </w:tc>
        <w:tc>
          <w:tcPr>
            <w:tcW w:w="2430" w:type="dxa"/>
            <w:vAlign w:val="center"/>
          </w:tcPr>
          <w:p w14:paraId="63FA5A6F" w14:textId="77777777" w:rsidR="00C55A42" w:rsidRPr="00C55A42" w:rsidRDefault="00C55A42" w:rsidP="00C55A42">
            <w:pPr>
              <w:pStyle w:val="Table"/>
              <w:rPr>
                <w:sz w:val="22"/>
                <w:szCs w:val="22"/>
              </w:rPr>
            </w:pPr>
            <w:r w:rsidRPr="00C55A42">
              <w:rPr>
                <w:rFonts w:ascii="Arial" w:hAnsi="Arial" w:cs="Arial"/>
                <w:sz w:val="22"/>
                <w:szCs w:val="22"/>
              </w:rPr>
              <w:t>∑</w:t>
            </w:r>
            <w:r w:rsidRPr="00C55A42">
              <w:rPr>
                <w:sz w:val="22"/>
                <w:szCs w:val="22"/>
              </w:rPr>
              <w:t xml:space="preserve"> N</w:t>
            </w:r>
          </w:p>
        </w:tc>
        <w:tc>
          <w:tcPr>
            <w:tcW w:w="2070" w:type="dxa"/>
            <w:vAlign w:val="center"/>
          </w:tcPr>
          <w:p w14:paraId="166C51C2" w14:textId="77777777" w:rsidR="00C55A42" w:rsidRPr="00C55A42" w:rsidRDefault="00C55A42" w:rsidP="00C55A42">
            <w:pPr>
              <w:pStyle w:val="Table"/>
              <w:rPr>
                <w:sz w:val="22"/>
                <w:szCs w:val="22"/>
              </w:rPr>
            </w:pPr>
            <w:r>
              <w:rPr>
                <w:rFonts w:ascii="Times New Roman" w:hAnsi="Times New Roman"/>
                <w:sz w:val="22"/>
                <w:szCs w:val="22"/>
              </w:rPr>
              <w:t>∑</w:t>
            </w:r>
            <w:r>
              <w:rPr>
                <w:sz w:val="22"/>
                <w:szCs w:val="22"/>
              </w:rPr>
              <w:t xml:space="preserve"> M</w:t>
            </w:r>
          </w:p>
        </w:tc>
        <w:tc>
          <w:tcPr>
            <w:tcW w:w="2340" w:type="dxa"/>
            <w:vAlign w:val="center"/>
          </w:tcPr>
          <w:p w14:paraId="54893580" w14:textId="77777777" w:rsidR="00C55A42" w:rsidRPr="00C55A42" w:rsidRDefault="00C55A42" w:rsidP="00C55A42">
            <w:pPr>
              <w:pStyle w:val="Table"/>
              <w:rPr>
                <w:sz w:val="22"/>
                <w:szCs w:val="22"/>
              </w:rPr>
            </w:pPr>
            <w:r>
              <w:rPr>
                <w:rFonts w:ascii="Times New Roman" w:hAnsi="Times New Roman"/>
                <w:sz w:val="22"/>
                <w:szCs w:val="22"/>
              </w:rPr>
              <w:t>∑</w:t>
            </w:r>
            <w:r>
              <w:rPr>
                <w:sz w:val="22"/>
                <w:szCs w:val="22"/>
              </w:rPr>
              <w:t xml:space="preserve"> R</w:t>
            </w:r>
          </w:p>
        </w:tc>
      </w:tr>
    </w:tbl>
    <w:p w14:paraId="6D91C2BB" w14:textId="6EF9BA96" w:rsidR="00C55A42" w:rsidRPr="003311EF" w:rsidRDefault="00B06EC6" w:rsidP="00B06EC6">
      <w:pPr>
        <w:pStyle w:val="Caption"/>
      </w:pPr>
      <w:bookmarkStart w:id="13" w:name="_Ref419633137"/>
      <w:bookmarkStart w:id="14" w:name="_Toc376335998"/>
      <w:bookmarkStart w:id="15" w:name="_Ref419633106"/>
      <w:r w:rsidRPr="0070363B">
        <w:t xml:space="preserve">Table </w:t>
      </w:r>
      <w:r w:rsidR="00D9131B">
        <w:fldChar w:fldCharType="begin"/>
      </w:r>
      <w:r>
        <w:instrText xml:space="preserve"> STYLEREF 1 \s </w:instrText>
      </w:r>
      <w:r w:rsidR="00D9131B">
        <w:fldChar w:fldCharType="separate"/>
      </w:r>
      <w:r w:rsidR="004D1729">
        <w:rPr>
          <w:noProof/>
          <w:cs/>
        </w:rPr>
        <w:t>‎</w:t>
      </w:r>
      <w:r w:rsidR="004D1729">
        <w:rPr>
          <w:noProof/>
        </w:rPr>
        <w:t>3</w:t>
      </w:r>
      <w:r w:rsidR="00D9131B">
        <w:rPr>
          <w:noProof/>
        </w:rPr>
        <w:fldChar w:fldCharType="end"/>
      </w:r>
      <w:r>
        <w:noBreakHyphen/>
      </w:r>
      <w:r w:rsidR="00D9131B">
        <w:fldChar w:fldCharType="begin"/>
      </w:r>
      <w:r>
        <w:instrText xml:space="preserve"> SEQ Table \* ARABIC \s 1 </w:instrText>
      </w:r>
      <w:r w:rsidR="00D9131B">
        <w:fldChar w:fldCharType="separate"/>
      </w:r>
      <w:r w:rsidR="004D1729">
        <w:rPr>
          <w:noProof/>
        </w:rPr>
        <w:t>1</w:t>
      </w:r>
      <w:r w:rsidR="00D9131B">
        <w:rPr>
          <w:noProof/>
        </w:rPr>
        <w:fldChar w:fldCharType="end"/>
      </w:r>
      <w:bookmarkEnd w:id="13"/>
      <w:r>
        <w:rPr>
          <w:noProof/>
        </w:rPr>
        <w:t>:</w:t>
      </w:r>
      <w:r w:rsidRPr="0070363B">
        <w:t xml:space="preserve"> </w:t>
      </w:r>
      <w:bookmarkEnd w:id="14"/>
      <w:r w:rsidR="00C55A42">
        <w:t>Interconnect</w:t>
      </w:r>
      <w:r w:rsidR="00FE7C66">
        <w:t>ion</w:t>
      </w:r>
      <w:r w:rsidR="00C55A42">
        <w:t xml:space="preserve"> Usage Report</w:t>
      </w:r>
      <w:bookmarkEnd w:id="15"/>
    </w:p>
    <w:p w14:paraId="0BE88143" w14:textId="77777777" w:rsidR="00E658D3" w:rsidRDefault="00E658D3" w:rsidP="00E658D3">
      <w:pPr>
        <w:spacing w:after="0" w:line="240" w:lineRule="auto"/>
        <w:mirrorIndents/>
      </w:pPr>
    </w:p>
    <w:p w14:paraId="71B3AE98" w14:textId="77777777" w:rsidR="00C55A42" w:rsidRPr="008B070B" w:rsidRDefault="00C55A42" w:rsidP="00E658D3">
      <w:pPr>
        <w:spacing w:after="0" w:line="240" w:lineRule="auto"/>
        <w:ind w:firstLine="900"/>
        <w:mirrorIndents/>
      </w:pPr>
      <w:r w:rsidRPr="008B070B">
        <w:t>Where:</w:t>
      </w:r>
      <w:r>
        <w:t xml:space="preserve"> </w:t>
      </w:r>
      <w:r w:rsidRPr="008B070B">
        <w:t xml:space="preserve">N = </w:t>
      </w:r>
      <w:r w:rsidRPr="008B070B">
        <w:tab/>
        <w:t>the total number of Calls</w:t>
      </w:r>
    </w:p>
    <w:p w14:paraId="153DF375" w14:textId="77777777" w:rsidR="00C55A42" w:rsidRPr="008B070B" w:rsidRDefault="00C55A42" w:rsidP="00E658D3">
      <w:pPr>
        <w:spacing w:after="0" w:line="240" w:lineRule="auto"/>
        <w:ind w:firstLine="900"/>
        <w:mirrorIndents/>
      </w:pPr>
      <w:r w:rsidRPr="008B070B">
        <w:t>Where</w:t>
      </w:r>
      <w:r>
        <w:t xml:space="preserve">: </w:t>
      </w:r>
      <w:r w:rsidRPr="008B070B">
        <w:t xml:space="preserve">M = </w:t>
      </w:r>
      <w:r w:rsidRPr="008B070B">
        <w:tab/>
        <w:t>the total Chargeable Call Duration in minutes</w:t>
      </w:r>
    </w:p>
    <w:p w14:paraId="04B19B43" w14:textId="77777777" w:rsidR="00C55A42" w:rsidRPr="008B070B" w:rsidRDefault="00C55A42" w:rsidP="00E658D3">
      <w:pPr>
        <w:spacing w:after="0" w:line="240" w:lineRule="auto"/>
        <w:ind w:firstLine="900"/>
        <w:mirrorIndents/>
      </w:pPr>
      <w:r w:rsidRPr="008B070B">
        <w:t>Where</w:t>
      </w:r>
      <w:r>
        <w:t xml:space="preserve">: </w:t>
      </w:r>
      <w:r w:rsidRPr="008B070B">
        <w:t xml:space="preserve">R = </w:t>
      </w:r>
      <w:r w:rsidRPr="008B070B">
        <w:tab/>
        <w:t>the total Revenue Charge which will comprise of:</w:t>
      </w:r>
    </w:p>
    <w:p w14:paraId="2C9DFEF5" w14:textId="77777777" w:rsidR="00C55A42" w:rsidRPr="008B070B" w:rsidRDefault="00C55A42" w:rsidP="00E658D3">
      <w:pPr>
        <w:spacing w:after="0" w:line="240" w:lineRule="auto"/>
        <w:mirrorIndents/>
      </w:pPr>
    </w:p>
    <w:p w14:paraId="444AB786" w14:textId="77777777" w:rsidR="00C55A42" w:rsidRPr="008B070B" w:rsidRDefault="00C55A42" w:rsidP="00E658D3">
      <w:pPr>
        <w:spacing w:after="0" w:line="240" w:lineRule="auto"/>
        <w:ind w:left="1440" w:firstLine="720"/>
        <w:mirrorIndents/>
      </w:pPr>
      <w:r w:rsidRPr="008B070B">
        <w:t>M x Rate per minute; or</w:t>
      </w:r>
    </w:p>
    <w:p w14:paraId="016F6434" w14:textId="77777777" w:rsidR="00C55A42" w:rsidRPr="008B070B" w:rsidRDefault="00C55A42" w:rsidP="00E658D3">
      <w:pPr>
        <w:spacing w:after="0" w:line="240" w:lineRule="auto"/>
        <w:ind w:left="1440" w:firstLine="720"/>
        <w:mirrorIndents/>
      </w:pPr>
      <w:r w:rsidRPr="008B070B">
        <w:t>N x Rate per call; or</w:t>
      </w:r>
    </w:p>
    <w:p w14:paraId="2963CE2C" w14:textId="77777777" w:rsidR="005A6991" w:rsidRPr="00C55A42" w:rsidRDefault="00C55A42" w:rsidP="00E658D3">
      <w:pPr>
        <w:pStyle w:val="ListParagraph"/>
        <w:numPr>
          <w:ilvl w:val="0"/>
          <w:numId w:val="0"/>
        </w:numPr>
        <w:spacing w:before="0" w:after="0" w:line="240" w:lineRule="auto"/>
        <w:ind w:left="1440" w:firstLine="720"/>
        <w:jc w:val="left"/>
      </w:pPr>
      <w:r w:rsidRPr="008B070B">
        <w:t xml:space="preserve">M x Rate per minute plus N </w:t>
      </w:r>
      <w:proofErr w:type="gramStart"/>
      <w:r w:rsidRPr="008B070B">
        <w:t>x</w:t>
      </w:r>
      <w:proofErr w:type="gramEnd"/>
      <w:r w:rsidRPr="008B070B">
        <w:t xml:space="preserve"> Rate per call</w:t>
      </w:r>
    </w:p>
    <w:p w14:paraId="74E93910" w14:textId="77777777" w:rsidR="00A34748" w:rsidRDefault="00A34748" w:rsidP="0066499B">
      <w:pPr>
        <w:ind w:left="720"/>
      </w:pPr>
    </w:p>
    <w:p w14:paraId="323F004E" w14:textId="09D8CF41" w:rsidR="00A34748" w:rsidRDefault="00E658D3" w:rsidP="00AB48EB">
      <w:pPr>
        <w:pStyle w:val="ListParagraph2"/>
      </w:pPr>
      <w:r w:rsidRPr="004F21E9">
        <w:t xml:space="preserve">In the case of International outbound Calls, details as illustrated in </w:t>
      </w:r>
      <w:r w:rsidR="00AB48EB">
        <w:fldChar w:fldCharType="begin"/>
      </w:r>
      <w:r w:rsidR="00AB48EB">
        <w:instrText xml:space="preserve"> REF _Ref465083624 \h </w:instrText>
      </w:r>
      <w:r w:rsidR="00AB48EB">
        <w:fldChar w:fldCharType="separate"/>
      </w:r>
      <w:r w:rsidR="004D1729" w:rsidRPr="0070363B">
        <w:t xml:space="preserve">Table </w:t>
      </w:r>
      <w:r w:rsidR="004D1729">
        <w:rPr>
          <w:noProof/>
          <w:cs/>
        </w:rPr>
        <w:t>‎</w:t>
      </w:r>
      <w:r w:rsidR="004D1729">
        <w:rPr>
          <w:noProof/>
        </w:rPr>
        <w:t>3</w:t>
      </w:r>
      <w:r w:rsidR="004D1729">
        <w:noBreakHyphen/>
      </w:r>
      <w:r w:rsidR="004D1729">
        <w:rPr>
          <w:noProof/>
        </w:rPr>
        <w:t>2</w:t>
      </w:r>
      <w:r w:rsidR="00AB48EB">
        <w:fldChar w:fldCharType="end"/>
      </w:r>
      <w:r w:rsidRPr="004F21E9">
        <w:t xml:space="preserve"> </w:t>
      </w:r>
      <w:r w:rsidR="00453396">
        <w:t xml:space="preserve">and </w:t>
      </w:r>
      <w:r w:rsidR="00D9131B">
        <w:fldChar w:fldCharType="begin"/>
      </w:r>
      <w:r w:rsidR="00453396">
        <w:instrText xml:space="preserve"> REF _Ref419633283 \h </w:instrText>
      </w:r>
      <w:r w:rsidR="00D9131B">
        <w:fldChar w:fldCharType="separate"/>
      </w:r>
      <w:r w:rsidR="004D1729" w:rsidRPr="0070363B">
        <w:t xml:space="preserve">Table </w:t>
      </w:r>
      <w:r w:rsidR="004D1729">
        <w:rPr>
          <w:noProof/>
          <w:cs/>
        </w:rPr>
        <w:t>‎</w:t>
      </w:r>
      <w:r w:rsidR="004D1729">
        <w:rPr>
          <w:noProof/>
        </w:rPr>
        <w:t>3</w:t>
      </w:r>
      <w:r w:rsidR="004D1729">
        <w:noBreakHyphen/>
      </w:r>
      <w:r w:rsidR="004D1729">
        <w:rPr>
          <w:noProof/>
        </w:rPr>
        <w:t>3</w:t>
      </w:r>
      <w:r w:rsidR="00D9131B">
        <w:fldChar w:fldCharType="end"/>
      </w:r>
      <w:r w:rsidR="00453396">
        <w:t xml:space="preserve"> </w:t>
      </w:r>
      <w:r w:rsidRPr="004F21E9">
        <w:t>shall be provided. Country names are for illustrative purposes only.</w:t>
      </w:r>
    </w:p>
    <w:p w14:paraId="35FB7858" w14:textId="77777777" w:rsidR="00D52799" w:rsidRDefault="00D52799" w:rsidP="00D52799">
      <w:pPr>
        <w:pStyle w:val="ListParagraph3"/>
      </w:pPr>
      <w:r>
        <w:t>Local Leg:</w:t>
      </w:r>
    </w:p>
    <w:tbl>
      <w:tblPr>
        <w:tblStyle w:val="TableGridLight1"/>
        <w:tblW w:w="8830" w:type="dxa"/>
        <w:tblInd w:w="885" w:type="dxa"/>
        <w:tblLayout w:type="fixed"/>
        <w:tblLook w:val="04A0" w:firstRow="1" w:lastRow="0" w:firstColumn="1" w:lastColumn="0" w:noHBand="0" w:noVBand="1"/>
      </w:tblPr>
      <w:tblGrid>
        <w:gridCol w:w="2800"/>
        <w:gridCol w:w="1620"/>
        <w:gridCol w:w="2070"/>
        <w:gridCol w:w="2340"/>
      </w:tblGrid>
      <w:tr w:rsidR="00D52799" w:rsidRPr="00C55A42" w14:paraId="1937B8EF" w14:textId="77777777" w:rsidTr="00151794">
        <w:trPr>
          <w:trHeight w:val="571"/>
        </w:trPr>
        <w:tc>
          <w:tcPr>
            <w:tcW w:w="2800" w:type="dxa"/>
            <w:shd w:val="clear" w:color="auto" w:fill="4A93D1"/>
            <w:vAlign w:val="center"/>
          </w:tcPr>
          <w:p w14:paraId="0B4490CD" w14:textId="77777777" w:rsidR="00D52799" w:rsidRPr="00151794" w:rsidRDefault="00D52799" w:rsidP="0019313F">
            <w:pPr>
              <w:pStyle w:val="Table"/>
              <w:rPr>
                <w:b/>
                <w:bCs/>
                <w:color w:val="FFFFFF" w:themeColor="background1"/>
                <w:sz w:val="22"/>
                <w:szCs w:val="22"/>
              </w:rPr>
            </w:pPr>
            <w:r w:rsidRPr="00151794">
              <w:rPr>
                <w:b/>
                <w:bCs/>
                <w:color w:val="FFFFFF" w:themeColor="background1"/>
                <w:sz w:val="22"/>
                <w:szCs w:val="22"/>
              </w:rPr>
              <w:lastRenderedPageBreak/>
              <w:t>Call type</w:t>
            </w:r>
          </w:p>
        </w:tc>
        <w:tc>
          <w:tcPr>
            <w:tcW w:w="1620" w:type="dxa"/>
            <w:shd w:val="clear" w:color="auto" w:fill="4A93D1"/>
            <w:vAlign w:val="center"/>
          </w:tcPr>
          <w:p w14:paraId="6073D13A" w14:textId="77777777" w:rsidR="00D52799" w:rsidRPr="00C55A42" w:rsidRDefault="00D52799" w:rsidP="0019313F">
            <w:pPr>
              <w:pStyle w:val="Table"/>
              <w:rPr>
                <w:b/>
                <w:bCs/>
                <w:color w:val="FFFFFF" w:themeColor="background1"/>
                <w:sz w:val="22"/>
                <w:szCs w:val="22"/>
              </w:rPr>
            </w:pPr>
            <w:r>
              <w:rPr>
                <w:b/>
                <w:bCs/>
                <w:color w:val="FFFFFF" w:themeColor="background1"/>
                <w:sz w:val="22"/>
                <w:szCs w:val="22"/>
              </w:rPr>
              <w:t>Calls</w:t>
            </w:r>
          </w:p>
        </w:tc>
        <w:tc>
          <w:tcPr>
            <w:tcW w:w="2070" w:type="dxa"/>
            <w:shd w:val="clear" w:color="auto" w:fill="4A93D1"/>
            <w:vAlign w:val="center"/>
          </w:tcPr>
          <w:p w14:paraId="562E8638" w14:textId="77777777" w:rsidR="00D52799" w:rsidRPr="00C55A42" w:rsidRDefault="00D52799" w:rsidP="0019313F">
            <w:pPr>
              <w:pStyle w:val="Table"/>
              <w:rPr>
                <w:b/>
                <w:bCs/>
                <w:color w:val="FFFFFF" w:themeColor="background1"/>
                <w:sz w:val="22"/>
                <w:szCs w:val="22"/>
              </w:rPr>
            </w:pPr>
            <w:r>
              <w:rPr>
                <w:b/>
                <w:bCs/>
                <w:color w:val="FFFFFF" w:themeColor="background1"/>
                <w:sz w:val="22"/>
                <w:szCs w:val="22"/>
              </w:rPr>
              <w:t>Chargeable Duration</w:t>
            </w:r>
          </w:p>
        </w:tc>
        <w:tc>
          <w:tcPr>
            <w:tcW w:w="2340" w:type="dxa"/>
            <w:shd w:val="clear" w:color="auto" w:fill="4A93D1"/>
            <w:vAlign w:val="center"/>
          </w:tcPr>
          <w:p w14:paraId="51DFFE9D" w14:textId="77777777" w:rsidR="00D52799" w:rsidRPr="00C55A42" w:rsidRDefault="00D52799" w:rsidP="0019313F">
            <w:pPr>
              <w:pStyle w:val="Table"/>
              <w:rPr>
                <w:b/>
                <w:bCs/>
                <w:color w:val="FFFFFF" w:themeColor="background1"/>
                <w:sz w:val="22"/>
                <w:szCs w:val="22"/>
              </w:rPr>
            </w:pPr>
            <w:r>
              <w:rPr>
                <w:b/>
                <w:bCs/>
                <w:color w:val="FFFFFF" w:themeColor="background1"/>
                <w:sz w:val="22"/>
                <w:szCs w:val="22"/>
              </w:rPr>
              <w:t>Revenue</w:t>
            </w:r>
          </w:p>
        </w:tc>
      </w:tr>
      <w:tr w:rsidR="00D52799" w:rsidRPr="00C55A42" w14:paraId="08F2EED6" w14:textId="77777777" w:rsidTr="00453396">
        <w:trPr>
          <w:trHeight w:val="859"/>
        </w:trPr>
        <w:tc>
          <w:tcPr>
            <w:tcW w:w="2800" w:type="dxa"/>
            <w:vAlign w:val="center"/>
          </w:tcPr>
          <w:p w14:paraId="09BE71E2" w14:textId="367A4930" w:rsidR="00D52799" w:rsidRPr="00151794" w:rsidRDefault="00D52799" w:rsidP="00453396">
            <w:pPr>
              <w:pStyle w:val="Table"/>
              <w:jc w:val="left"/>
              <w:rPr>
                <w:sz w:val="22"/>
                <w:szCs w:val="22"/>
              </w:rPr>
            </w:pPr>
          </w:p>
        </w:tc>
        <w:tc>
          <w:tcPr>
            <w:tcW w:w="1620" w:type="dxa"/>
            <w:vAlign w:val="center"/>
          </w:tcPr>
          <w:p w14:paraId="6A23A265" w14:textId="0C56959A" w:rsidR="00D52799" w:rsidRPr="00C55A42" w:rsidRDefault="00D52799" w:rsidP="0019313F">
            <w:pPr>
              <w:pStyle w:val="Table"/>
              <w:rPr>
                <w:sz w:val="22"/>
                <w:szCs w:val="22"/>
              </w:rPr>
            </w:pPr>
          </w:p>
        </w:tc>
        <w:tc>
          <w:tcPr>
            <w:tcW w:w="2070" w:type="dxa"/>
            <w:vAlign w:val="center"/>
          </w:tcPr>
          <w:p w14:paraId="7419FED7" w14:textId="70B5DC48" w:rsidR="00D52799" w:rsidRPr="00C55A42" w:rsidRDefault="00D52799" w:rsidP="0019313F">
            <w:pPr>
              <w:pStyle w:val="Table"/>
              <w:rPr>
                <w:sz w:val="22"/>
                <w:szCs w:val="22"/>
              </w:rPr>
            </w:pPr>
          </w:p>
        </w:tc>
        <w:tc>
          <w:tcPr>
            <w:tcW w:w="2340" w:type="dxa"/>
            <w:vAlign w:val="center"/>
          </w:tcPr>
          <w:p w14:paraId="24526B81" w14:textId="0BD09DDC" w:rsidR="00D52799" w:rsidRPr="00C55A42" w:rsidRDefault="00D52799" w:rsidP="0019313F">
            <w:pPr>
              <w:pStyle w:val="Table"/>
              <w:rPr>
                <w:sz w:val="22"/>
                <w:szCs w:val="22"/>
              </w:rPr>
            </w:pPr>
          </w:p>
        </w:tc>
      </w:tr>
      <w:tr w:rsidR="00D52799" w:rsidRPr="00D91928" w14:paraId="24342732" w14:textId="77777777" w:rsidTr="00453396">
        <w:trPr>
          <w:trHeight w:val="976"/>
        </w:trPr>
        <w:tc>
          <w:tcPr>
            <w:tcW w:w="2800" w:type="dxa"/>
            <w:vAlign w:val="center"/>
          </w:tcPr>
          <w:p w14:paraId="6AC13958" w14:textId="5D44C362" w:rsidR="00D52799" w:rsidRPr="00151794" w:rsidRDefault="00D52799" w:rsidP="00453396">
            <w:pPr>
              <w:pStyle w:val="Table"/>
              <w:jc w:val="left"/>
              <w:rPr>
                <w:sz w:val="22"/>
                <w:szCs w:val="22"/>
              </w:rPr>
            </w:pPr>
          </w:p>
        </w:tc>
        <w:tc>
          <w:tcPr>
            <w:tcW w:w="1620" w:type="dxa"/>
            <w:vAlign w:val="center"/>
          </w:tcPr>
          <w:p w14:paraId="11C1C840" w14:textId="320864DD" w:rsidR="00D52799" w:rsidRPr="00C55A42" w:rsidRDefault="00D52799" w:rsidP="0019313F">
            <w:pPr>
              <w:pStyle w:val="Table"/>
              <w:rPr>
                <w:rFonts w:ascii="Arial" w:hAnsi="Arial" w:cs="Arial"/>
                <w:sz w:val="22"/>
                <w:szCs w:val="22"/>
              </w:rPr>
            </w:pPr>
          </w:p>
        </w:tc>
        <w:tc>
          <w:tcPr>
            <w:tcW w:w="2070" w:type="dxa"/>
            <w:vAlign w:val="center"/>
          </w:tcPr>
          <w:p w14:paraId="522C0C93" w14:textId="07123919" w:rsidR="00D52799" w:rsidRPr="00D91928" w:rsidRDefault="00D52799" w:rsidP="0019313F">
            <w:pPr>
              <w:pStyle w:val="Table"/>
              <w:rPr>
                <w:sz w:val="22"/>
                <w:szCs w:val="22"/>
              </w:rPr>
            </w:pPr>
          </w:p>
        </w:tc>
        <w:tc>
          <w:tcPr>
            <w:tcW w:w="2340" w:type="dxa"/>
            <w:vAlign w:val="center"/>
          </w:tcPr>
          <w:p w14:paraId="7EEB4E9F" w14:textId="61251A25" w:rsidR="00D52799" w:rsidRPr="00D91928" w:rsidRDefault="00D52799" w:rsidP="0019313F">
            <w:pPr>
              <w:pStyle w:val="Table"/>
              <w:rPr>
                <w:sz w:val="22"/>
                <w:szCs w:val="22"/>
              </w:rPr>
            </w:pPr>
          </w:p>
        </w:tc>
      </w:tr>
      <w:tr w:rsidR="00D52799" w:rsidRPr="00D91928" w14:paraId="6063E986" w14:textId="77777777" w:rsidTr="00453396">
        <w:trPr>
          <w:trHeight w:val="886"/>
        </w:trPr>
        <w:tc>
          <w:tcPr>
            <w:tcW w:w="2800" w:type="dxa"/>
            <w:vAlign w:val="center"/>
          </w:tcPr>
          <w:p w14:paraId="7FD05F55" w14:textId="6768E1C5" w:rsidR="00D52799" w:rsidRPr="00151794" w:rsidRDefault="00D52799" w:rsidP="00453396">
            <w:pPr>
              <w:pStyle w:val="Table"/>
              <w:jc w:val="left"/>
              <w:rPr>
                <w:sz w:val="22"/>
                <w:szCs w:val="22"/>
              </w:rPr>
            </w:pPr>
          </w:p>
        </w:tc>
        <w:tc>
          <w:tcPr>
            <w:tcW w:w="1620" w:type="dxa"/>
            <w:vAlign w:val="center"/>
          </w:tcPr>
          <w:p w14:paraId="77E64C97" w14:textId="3DAA24B9" w:rsidR="00D52799" w:rsidRPr="00C55A42" w:rsidRDefault="00D52799" w:rsidP="0019313F">
            <w:pPr>
              <w:pStyle w:val="Table"/>
              <w:rPr>
                <w:rFonts w:ascii="Arial" w:hAnsi="Arial" w:cs="Arial"/>
                <w:sz w:val="22"/>
                <w:szCs w:val="22"/>
              </w:rPr>
            </w:pPr>
          </w:p>
        </w:tc>
        <w:tc>
          <w:tcPr>
            <w:tcW w:w="2070" w:type="dxa"/>
            <w:vAlign w:val="center"/>
          </w:tcPr>
          <w:p w14:paraId="591541DA" w14:textId="434FA519" w:rsidR="00D52799" w:rsidRPr="00D91928" w:rsidRDefault="00D52799" w:rsidP="0019313F">
            <w:pPr>
              <w:pStyle w:val="Table"/>
              <w:rPr>
                <w:sz w:val="22"/>
                <w:szCs w:val="22"/>
              </w:rPr>
            </w:pPr>
          </w:p>
        </w:tc>
        <w:tc>
          <w:tcPr>
            <w:tcW w:w="2340" w:type="dxa"/>
            <w:vAlign w:val="center"/>
          </w:tcPr>
          <w:p w14:paraId="1F8C31EC" w14:textId="617D8C64" w:rsidR="00D52799" w:rsidRPr="00D91928" w:rsidRDefault="00D52799" w:rsidP="0019313F">
            <w:pPr>
              <w:pStyle w:val="Table"/>
              <w:rPr>
                <w:sz w:val="22"/>
                <w:szCs w:val="22"/>
              </w:rPr>
            </w:pPr>
          </w:p>
        </w:tc>
      </w:tr>
      <w:tr w:rsidR="00B96916" w:rsidRPr="00C55A42" w14:paraId="6405CBDE" w14:textId="77777777" w:rsidTr="00151794">
        <w:trPr>
          <w:trHeight w:val="535"/>
        </w:trPr>
        <w:tc>
          <w:tcPr>
            <w:tcW w:w="2800" w:type="dxa"/>
            <w:vAlign w:val="center"/>
          </w:tcPr>
          <w:p w14:paraId="74029BC2" w14:textId="77777777" w:rsidR="00B96916" w:rsidRPr="00C55A42" w:rsidRDefault="00B96916" w:rsidP="0019313F">
            <w:pPr>
              <w:pStyle w:val="Table"/>
              <w:rPr>
                <w:sz w:val="22"/>
                <w:szCs w:val="22"/>
              </w:rPr>
            </w:pPr>
            <w:r w:rsidRPr="00C55A42">
              <w:rPr>
                <w:sz w:val="22"/>
                <w:szCs w:val="22"/>
              </w:rPr>
              <w:t xml:space="preserve">Total </w:t>
            </w:r>
          </w:p>
        </w:tc>
        <w:tc>
          <w:tcPr>
            <w:tcW w:w="1620" w:type="dxa"/>
            <w:vAlign w:val="center"/>
          </w:tcPr>
          <w:p w14:paraId="231E58C4" w14:textId="77777777" w:rsidR="00B96916" w:rsidRPr="00C55A42" w:rsidRDefault="00B96916" w:rsidP="0019313F">
            <w:pPr>
              <w:pStyle w:val="Table"/>
              <w:rPr>
                <w:sz w:val="22"/>
                <w:szCs w:val="22"/>
              </w:rPr>
            </w:pPr>
            <w:r w:rsidRPr="00C55A42">
              <w:rPr>
                <w:rFonts w:ascii="Arial" w:hAnsi="Arial" w:cs="Arial"/>
                <w:sz w:val="22"/>
                <w:szCs w:val="22"/>
              </w:rPr>
              <w:t>∑</w:t>
            </w:r>
            <w:r w:rsidRPr="00C55A42">
              <w:rPr>
                <w:sz w:val="22"/>
                <w:szCs w:val="22"/>
              </w:rPr>
              <w:t xml:space="preserve"> N</w:t>
            </w:r>
          </w:p>
        </w:tc>
        <w:tc>
          <w:tcPr>
            <w:tcW w:w="2070" w:type="dxa"/>
            <w:vAlign w:val="center"/>
          </w:tcPr>
          <w:p w14:paraId="5E401145" w14:textId="77777777" w:rsidR="00B96916" w:rsidRPr="00C55A42" w:rsidRDefault="00B96916" w:rsidP="0019313F">
            <w:pPr>
              <w:pStyle w:val="Table"/>
              <w:rPr>
                <w:sz w:val="22"/>
                <w:szCs w:val="22"/>
              </w:rPr>
            </w:pPr>
            <w:r>
              <w:rPr>
                <w:rFonts w:ascii="Times New Roman" w:hAnsi="Times New Roman"/>
                <w:sz w:val="22"/>
                <w:szCs w:val="22"/>
              </w:rPr>
              <w:t>∑</w:t>
            </w:r>
            <w:r>
              <w:rPr>
                <w:sz w:val="22"/>
                <w:szCs w:val="22"/>
              </w:rPr>
              <w:t xml:space="preserve"> M</w:t>
            </w:r>
          </w:p>
        </w:tc>
        <w:tc>
          <w:tcPr>
            <w:tcW w:w="2340" w:type="dxa"/>
            <w:vAlign w:val="center"/>
          </w:tcPr>
          <w:p w14:paraId="5AE37B80" w14:textId="77777777" w:rsidR="00B96916" w:rsidRPr="00C55A42" w:rsidRDefault="00B96916" w:rsidP="0019313F">
            <w:pPr>
              <w:pStyle w:val="Table"/>
              <w:rPr>
                <w:sz w:val="22"/>
                <w:szCs w:val="22"/>
              </w:rPr>
            </w:pPr>
            <w:r>
              <w:rPr>
                <w:rFonts w:ascii="Times New Roman" w:hAnsi="Times New Roman"/>
                <w:sz w:val="22"/>
                <w:szCs w:val="22"/>
              </w:rPr>
              <w:t>∑</w:t>
            </w:r>
            <w:r>
              <w:rPr>
                <w:sz w:val="22"/>
                <w:szCs w:val="22"/>
              </w:rPr>
              <w:t xml:space="preserve"> R</w:t>
            </w:r>
          </w:p>
        </w:tc>
      </w:tr>
    </w:tbl>
    <w:p w14:paraId="4D6AF2D7" w14:textId="6DEB0B62" w:rsidR="00151794" w:rsidRPr="001C5CEB" w:rsidRDefault="00151794" w:rsidP="00453396">
      <w:pPr>
        <w:pStyle w:val="Caption"/>
      </w:pPr>
      <w:bookmarkStart w:id="16" w:name="_Ref465083624"/>
      <w:r w:rsidRPr="0070363B">
        <w:t xml:space="preserve">Table </w:t>
      </w:r>
      <w:r w:rsidR="00D9131B">
        <w:fldChar w:fldCharType="begin"/>
      </w:r>
      <w:r>
        <w:instrText xml:space="preserve"> STYLEREF 1 \s </w:instrText>
      </w:r>
      <w:r w:rsidR="00D9131B">
        <w:fldChar w:fldCharType="separate"/>
      </w:r>
      <w:r w:rsidR="004D1729">
        <w:rPr>
          <w:noProof/>
          <w:cs/>
        </w:rPr>
        <w:t>‎</w:t>
      </w:r>
      <w:r w:rsidR="004D1729">
        <w:rPr>
          <w:noProof/>
        </w:rPr>
        <w:t>3</w:t>
      </w:r>
      <w:r w:rsidR="00D9131B">
        <w:rPr>
          <w:noProof/>
        </w:rPr>
        <w:fldChar w:fldCharType="end"/>
      </w:r>
      <w:r>
        <w:noBreakHyphen/>
      </w:r>
      <w:r w:rsidR="00D9131B">
        <w:fldChar w:fldCharType="begin"/>
      </w:r>
      <w:r>
        <w:instrText xml:space="preserve"> SEQ Table \* ARABIC \s 1 </w:instrText>
      </w:r>
      <w:r w:rsidR="00D9131B">
        <w:fldChar w:fldCharType="separate"/>
      </w:r>
      <w:r w:rsidR="004D1729">
        <w:rPr>
          <w:noProof/>
        </w:rPr>
        <w:t>2</w:t>
      </w:r>
      <w:r w:rsidR="00D9131B">
        <w:rPr>
          <w:noProof/>
        </w:rPr>
        <w:fldChar w:fldCharType="end"/>
      </w:r>
      <w:bookmarkEnd w:id="16"/>
      <w:r>
        <w:rPr>
          <w:noProof/>
        </w:rPr>
        <w:t>:</w:t>
      </w:r>
      <w:r w:rsidRPr="0070363B">
        <w:t xml:space="preserve"> </w:t>
      </w:r>
      <w:r w:rsidRPr="001C5CEB">
        <w:t>International Outbound Calls</w:t>
      </w:r>
      <w:r w:rsidR="00453396">
        <w:t xml:space="preserve"> (National leg – Transit segment)</w:t>
      </w:r>
    </w:p>
    <w:p w14:paraId="1AF3113A" w14:textId="77777777" w:rsidR="000769CF" w:rsidRDefault="000769CF" w:rsidP="000769CF">
      <w:pPr>
        <w:pStyle w:val="ListParagraph2"/>
      </w:pPr>
      <w:r>
        <w:t xml:space="preserve">The above table could be modified in case single termination rate is applied. </w:t>
      </w:r>
    </w:p>
    <w:p w14:paraId="79E89FDB" w14:textId="77777777" w:rsidR="00D52799" w:rsidRPr="00713F36" w:rsidRDefault="005D5749" w:rsidP="00B06EC6">
      <w:pPr>
        <w:pStyle w:val="ListParagraph2"/>
      </w:pPr>
      <w:r>
        <w:t>International Termination</w:t>
      </w:r>
      <w:r w:rsidR="000769CF">
        <w:t>:</w:t>
      </w:r>
    </w:p>
    <w:tbl>
      <w:tblPr>
        <w:tblStyle w:val="TableGridLight1"/>
        <w:tblW w:w="8830" w:type="dxa"/>
        <w:tblInd w:w="885" w:type="dxa"/>
        <w:tblLayout w:type="fixed"/>
        <w:tblLook w:val="04A0" w:firstRow="1" w:lastRow="0" w:firstColumn="1" w:lastColumn="0" w:noHBand="0" w:noVBand="1"/>
      </w:tblPr>
      <w:tblGrid>
        <w:gridCol w:w="2800"/>
        <w:gridCol w:w="1620"/>
        <w:gridCol w:w="2070"/>
        <w:gridCol w:w="2340"/>
      </w:tblGrid>
      <w:tr w:rsidR="00D52799" w:rsidRPr="00C55A42" w14:paraId="739428D6" w14:textId="77777777" w:rsidTr="00151794">
        <w:trPr>
          <w:trHeight w:val="571"/>
        </w:trPr>
        <w:tc>
          <w:tcPr>
            <w:tcW w:w="2800" w:type="dxa"/>
            <w:shd w:val="clear" w:color="auto" w:fill="4A93D1"/>
            <w:vAlign w:val="center"/>
          </w:tcPr>
          <w:p w14:paraId="6C4980D4" w14:textId="77777777" w:rsidR="00D52799" w:rsidRPr="00C55A42" w:rsidRDefault="00D52799" w:rsidP="00D52799">
            <w:pPr>
              <w:pStyle w:val="Table"/>
              <w:rPr>
                <w:b/>
                <w:bCs/>
                <w:color w:val="FFFFFF" w:themeColor="background1"/>
                <w:sz w:val="22"/>
                <w:szCs w:val="22"/>
              </w:rPr>
            </w:pPr>
            <w:r>
              <w:rPr>
                <w:b/>
                <w:bCs/>
                <w:color w:val="FFFFFF" w:themeColor="background1"/>
                <w:sz w:val="22"/>
                <w:szCs w:val="22"/>
              </w:rPr>
              <w:t>Destination</w:t>
            </w:r>
          </w:p>
        </w:tc>
        <w:tc>
          <w:tcPr>
            <w:tcW w:w="1620" w:type="dxa"/>
            <w:shd w:val="clear" w:color="auto" w:fill="4A93D1"/>
            <w:vAlign w:val="center"/>
          </w:tcPr>
          <w:p w14:paraId="5AE030FC" w14:textId="77777777" w:rsidR="00D52799" w:rsidRPr="00C55A42" w:rsidRDefault="00D52799" w:rsidP="00D52799">
            <w:pPr>
              <w:pStyle w:val="Table"/>
              <w:rPr>
                <w:b/>
                <w:bCs/>
                <w:color w:val="FFFFFF" w:themeColor="background1"/>
                <w:sz w:val="22"/>
                <w:szCs w:val="22"/>
              </w:rPr>
            </w:pPr>
            <w:r>
              <w:rPr>
                <w:b/>
                <w:bCs/>
                <w:color w:val="FFFFFF" w:themeColor="background1"/>
                <w:sz w:val="22"/>
                <w:szCs w:val="22"/>
              </w:rPr>
              <w:t>Calls</w:t>
            </w:r>
          </w:p>
        </w:tc>
        <w:tc>
          <w:tcPr>
            <w:tcW w:w="2070" w:type="dxa"/>
            <w:shd w:val="clear" w:color="auto" w:fill="4A93D1"/>
            <w:vAlign w:val="center"/>
          </w:tcPr>
          <w:p w14:paraId="65C42A02" w14:textId="77777777" w:rsidR="00D52799" w:rsidRPr="00C55A42" w:rsidRDefault="00D52799" w:rsidP="00D52799">
            <w:pPr>
              <w:pStyle w:val="Table"/>
              <w:rPr>
                <w:b/>
                <w:bCs/>
                <w:color w:val="FFFFFF" w:themeColor="background1"/>
                <w:sz w:val="22"/>
                <w:szCs w:val="22"/>
              </w:rPr>
            </w:pPr>
            <w:r>
              <w:rPr>
                <w:b/>
                <w:bCs/>
                <w:color w:val="FFFFFF" w:themeColor="background1"/>
                <w:sz w:val="22"/>
                <w:szCs w:val="22"/>
              </w:rPr>
              <w:t>Chargeable Duration</w:t>
            </w:r>
          </w:p>
        </w:tc>
        <w:tc>
          <w:tcPr>
            <w:tcW w:w="2340" w:type="dxa"/>
            <w:shd w:val="clear" w:color="auto" w:fill="4A93D1"/>
            <w:vAlign w:val="center"/>
          </w:tcPr>
          <w:p w14:paraId="318C6F3C" w14:textId="77777777" w:rsidR="00D52799" w:rsidRPr="00C55A42" w:rsidRDefault="00D52799" w:rsidP="00D52799">
            <w:pPr>
              <w:pStyle w:val="Table"/>
              <w:rPr>
                <w:b/>
                <w:bCs/>
                <w:color w:val="FFFFFF" w:themeColor="background1"/>
                <w:sz w:val="22"/>
                <w:szCs w:val="22"/>
              </w:rPr>
            </w:pPr>
            <w:r>
              <w:rPr>
                <w:b/>
                <w:bCs/>
                <w:color w:val="FFFFFF" w:themeColor="background1"/>
                <w:sz w:val="22"/>
                <w:szCs w:val="22"/>
              </w:rPr>
              <w:t>Revenue</w:t>
            </w:r>
          </w:p>
        </w:tc>
      </w:tr>
      <w:tr w:rsidR="00D52799" w:rsidRPr="00C55A42" w14:paraId="47A37C8F" w14:textId="77777777" w:rsidTr="00151794">
        <w:trPr>
          <w:trHeight w:val="481"/>
        </w:trPr>
        <w:tc>
          <w:tcPr>
            <w:tcW w:w="2800" w:type="dxa"/>
            <w:vAlign w:val="center"/>
          </w:tcPr>
          <w:p w14:paraId="15EF83FE" w14:textId="77777777" w:rsidR="00D52799" w:rsidRPr="00C55A42" w:rsidRDefault="00D52799" w:rsidP="00453396">
            <w:pPr>
              <w:pStyle w:val="Table"/>
              <w:jc w:val="left"/>
              <w:rPr>
                <w:sz w:val="22"/>
                <w:szCs w:val="22"/>
              </w:rPr>
            </w:pPr>
            <w:r>
              <w:rPr>
                <w:sz w:val="22"/>
                <w:szCs w:val="22"/>
              </w:rPr>
              <w:t>AFGHANISTAN</w:t>
            </w:r>
          </w:p>
        </w:tc>
        <w:tc>
          <w:tcPr>
            <w:tcW w:w="1620" w:type="dxa"/>
            <w:vAlign w:val="center"/>
          </w:tcPr>
          <w:p w14:paraId="20A770A1" w14:textId="77777777" w:rsidR="00D52799" w:rsidRPr="00C55A42" w:rsidRDefault="00D52799" w:rsidP="00D52799">
            <w:pPr>
              <w:pStyle w:val="Table"/>
              <w:rPr>
                <w:sz w:val="22"/>
                <w:szCs w:val="22"/>
              </w:rPr>
            </w:pPr>
            <w:r>
              <w:rPr>
                <w:sz w:val="22"/>
                <w:szCs w:val="22"/>
              </w:rPr>
              <w:t>N</w:t>
            </w:r>
          </w:p>
        </w:tc>
        <w:tc>
          <w:tcPr>
            <w:tcW w:w="2070" w:type="dxa"/>
            <w:vAlign w:val="center"/>
          </w:tcPr>
          <w:p w14:paraId="5298A3A8" w14:textId="77777777" w:rsidR="00D52799" w:rsidRPr="00C55A42" w:rsidRDefault="00D52799" w:rsidP="00D52799">
            <w:pPr>
              <w:pStyle w:val="Table"/>
              <w:rPr>
                <w:sz w:val="22"/>
                <w:szCs w:val="22"/>
              </w:rPr>
            </w:pPr>
            <w:r>
              <w:rPr>
                <w:sz w:val="22"/>
                <w:szCs w:val="22"/>
              </w:rPr>
              <w:t>M</w:t>
            </w:r>
          </w:p>
        </w:tc>
        <w:tc>
          <w:tcPr>
            <w:tcW w:w="2340" w:type="dxa"/>
            <w:vAlign w:val="center"/>
          </w:tcPr>
          <w:p w14:paraId="44CB55B3" w14:textId="77777777" w:rsidR="00D52799" w:rsidRPr="00C55A42" w:rsidRDefault="00D52799" w:rsidP="00D52799">
            <w:pPr>
              <w:pStyle w:val="Table"/>
              <w:rPr>
                <w:sz w:val="22"/>
                <w:szCs w:val="22"/>
              </w:rPr>
            </w:pPr>
            <w:r>
              <w:rPr>
                <w:sz w:val="22"/>
                <w:szCs w:val="22"/>
              </w:rPr>
              <w:t>R</w:t>
            </w:r>
          </w:p>
        </w:tc>
      </w:tr>
      <w:tr w:rsidR="00D52799" w:rsidRPr="00C55A42" w14:paraId="42930B25" w14:textId="77777777" w:rsidTr="00151794">
        <w:trPr>
          <w:trHeight w:val="535"/>
        </w:trPr>
        <w:tc>
          <w:tcPr>
            <w:tcW w:w="2800" w:type="dxa"/>
            <w:vAlign w:val="center"/>
          </w:tcPr>
          <w:p w14:paraId="65EE4D31" w14:textId="77777777" w:rsidR="00D52799" w:rsidRPr="00C55A42" w:rsidRDefault="00D52799" w:rsidP="00453396">
            <w:pPr>
              <w:pStyle w:val="Table"/>
              <w:jc w:val="left"/>
              <w:rPr>
                <w:sz w:val="22"/>
                <w:szCs w:val="22"/>
              </w:rPr>
            </w:pPr>
            <w:r>
              <w:rPr>
                <w:sz w:val="22"/>
                <w:szCs w:val="22"/>
              </w:rPr>
              <w:t>ALASKS – USA</w:t>
            </w:r>
          </w:p>
        </w:tc>
        <w:tc>
          <w:tcPr>
            <w:tcW w:w="1620" w:type="dxa"/>
            <w:vAlign w:val="center"/>
          </w:tcPr>
          <w:p w14:paraId="02144970" w14:textId="77777777" w:rsidR="00D52799" w:rsidRPr="00C55A42" w:rsidRDefault="00D52799" w:rsidP="00D52799">
            <w:pPr>
              <w:pStyle w:val="Table"/>
              <w:rPr>
                <w:rFonts w:ascii="Arial" w:hAnsi="Arial" w:cs="Arial"/>
                <w:sz w:val="22"/>
                <w:szCs w:val="22"/>
              </w:rPr>
            </w:pPr>
            <w:r>
              <w:rPr>
                <w:rFonts w:ascii="Arial" w:hAnsi="Arial" w:cs="Arial"/>
                <w:sz w:val="22"/>
                <w:szCs w:val="22"/>
              </w:rPr>
              <w:t>N</w:t>
            </w:r>
          </w:p>
        </w:tc>
        <w:tc>
          <w:tcPr>
            <w:tcW w:w="2070" w:type="dxa"/>
            <w:vAlign w:val="center"/>
          </w:tcPr>
          <w:p w14:paraId="5F521218" w14:textId="77777777" w:rsidR="00D52799" w:rsidRPr="00D91928" w:rsidRDefault="00D52799" w:rsidP="00D52799">
            <w:pPr>
              <w:pStyle w:val="Table"/>
              <w:rPr>
                <w:sz w:val="22"/>
                <w:szCs w:val="22"/>
              </w:rPr>
            </w:pPr>
            <w:r>
              <w:rPr>
                <w:sz w:val="22"/>
                <w:szCs w:val="22"/>
              </w:rPr>
              <w:t>M</w:t>
            </w:r>
          </w:p>
        </w:tc>
        <w:tc>
          <w:tcPr>
            <w:tcW w:w="2340" w:type="dxa"/>
            <w:vAlign w:val="center"/>
          </w:tcPr>
          <w:p w14:paraId="6A8D1CB4" w14:textId="77777777" w:rsidR="00D52799" w:rsidRPr="00D91928" w:rsidRDefault="00D52799" w:rsidP="00D52799">
            <w:pPr>
              <w:pStyle w:val="Table"/>
              <w:rPr>
                <w:sz w:val="22"/>
                <w:szCs w:val="22"/>
              </w:rPr>
            </w:pPr>
            <w:r>
              <w:rPr>
                <w:sz w:val="22"/>
                <w:szCs w:val="22"/>
              </w:rPr>
              <w:t>R</w:t>
            </w:r>
          </w:p>
        </w:tc>
      </w:tr>
      <w:tr w:rsidR="00D52799" w:rsidRPr="00C55A42" w14:paraId="5F7F20C0" w14:textId="77777777" w:rsidTr="00151794">
        <w:trPr>
          <w:trHeight w:val="535"/>
        </w:trPr>
        <w:tc>
          <w:tcPr>
            <w:tcW w:w="2800" w:type="dxa"/>
            <w:vAlign w:val="center"/>
          </w:tcPr>
          <w:p w14:paraId="1E1F578C" w14:textId="77777777" w:rsidR="00D52799" w:rsidRPr="00C55A42" w:rsidRDefault="00D52799" w:rsidP="00453396">
            <w:pPr>
              <w:pStyle w:val="Table"/>
              <w:jc w:val="left"/>
              <w:rPr>
                <w:sz w:val="22"/>
                <w:szCs w:val="22"/>
              </w:rPr>
            </w:pPr>
            <w:r>
              <w:rPr>
                <w:sz w:val="22"/>
                <w:szCs w:val="22"/>
              </w:rPr>
              <w:t>ALBANIA</w:t>
            </w:r>
          </w:p>
        </w:tc>
        <w:tc>
          <w:tcPr>
            <w:tcW w:w="1620" w:type="dxa"/>
            <w:vAlign w:val="center"/>
          </w:tcPr>
          <w:p w14:paraId="336E45D1" w14:textId="77777777" w:rsidR="00D52799" w:rsidRPr="00C55A42" w:rsidRDefault="00D52799" w:rsidP="00D52799">
            <w:pPr>
              <w:pStyle w:val="Table"/>
              <w:rPr>
                <w:rFonts w:ascii="Arial" w:hAnsi="Arial" w:cs="Arial"/>
                <w:sz w:val="22"/>
                <w:szCs w:val="22"/>
              </w:rPr>
            </w:pPr>
            <w:r>
              <w:rPr>
                <w:rFonts w:ascii="Arial" w:hAnsi="Arial" w:cs="Arial"/>
                <w:sz w:val="22"/>
                <w:szCs w:val="22"/>
              </w:rPr>
              <w:t>N</w:t>
            </w:r>
          </w:p>
        </w:tc>
        <w:tc>
          <w:tcPr>
            <w:tcW w:w="2070" w:type="dxa"/>
            <w:vAlign w:val="center"/>
          </w:tcPr>
          <w:p w14:paraId="28791FFE" w14:textId="77777777" w:rsidR="00D52799" w:rsidRPr="00D91928" w:rsidRDefault="00D52799" w:rsidP="00D52799">
            <w:pPr>
              <w:pStyle w:val="Table"/>
              <w:rPr>
                <w:sz w:val="22"/>
                <w:szCs w:val="22"/>
              </w:rPr>
            </w:pPr>
            <w:r>
              <w:rPr>
                <w:sz w:val="22"/>
                <w:szCs w:val="22"/>
              </w:rPr>
              <w:t>M</w:t>
            </w:r>
          </w:p>
        </w:tc>
        <w:tc>
          <w:tcPr>
            <w:tcW w:w="2340" w:type="dxa"/>
            <w:vAlign w:val="center"/>
          </w:tcPr>
          <w:p w14:paraId="49CD2E89" w14:textId="77777777" w:rsidR="00D52799" w:rsidRPr="00D91928" w:rsidRDefault="00D52799" w:rsidP="00D52799">
            <w:pPr>
              <w:pStyle w:val="Table"/>
              <w:rPr>
                <w:sz w:val="22"/>
                <w:szCs w:val="22"/>
              </w:rPr>
            </w:pPr>
            <w:r>
              <w:rPr>
                <w:sz w:val="22"/>
                <w:szCs w:val="22"/>
              </w:rPr>
              <w:t>R</w:t>
            </w:r>
          </w:p>
        </w:tc>
      </w:tr>
      <w:tr w:rsidR="00D52799" w:rsidRPr="00C55A42" w14:paraId="441F4303" w14:textId="77777777" w:rsidTr="00151794">
        <w:trPr>
          <w:trHeight w:val="535"/>
        </w:trPr>
        <w:tc>
          <w:tcPr>
            <w:tcW w:w="2800" w:type="dxa"/>
            <w:vAlign w:val="center"/>
          </w:tcPr>
          <w:p w14:paraId="2B183D91" w14:textId="77777777" w:rsidR="00D52799" w:rsidRPr="00C55A42" w:rsidRDefault="00D52799" w:rsidP="00453396">
            <w:pPr>
              <w:pStyle w:val="Table"/>
              <w:jc w:val="left"/>
              <w:rPr>
                <w:sz w:val="22"/>
                <w:szCs w:val="22"/>
              </w:rPr>
            </w:pPr>
            <w:r>
              <w:rPr>
                <w:sz w:val="22"/>
                <w:szCs w:val="22"/>
              </w:rPr>
              <w:t>ALGERIA</w:t>
            </w:r>
          </w:p>
        </w:tc>
        <w:tc>
          <w:tcPr>
            <w:tcW w:w="1620" w:type="dxa"/>
            <w:vAlign w:val="center"/>
          </w:tcPr>
          <w:p w14:paraId="5BFEB905" w14:textId="77777777" w:rsidR="00D52799" w:rsidRPr="00C55A42" w:rsidRDefault="00D52799" w:rsidP="00D52799">
            <w:pPr>
              <w:pStyle w:val="Table"/>
              <w:rPr>
                <w:rFonts w:ascii="Arial" w:hAnsi="Arial" w:cs="Arial"/>
                <w:sz w:val="22"/>
                <w:szCs w:val="22"/>
              </w:rPr>
            </w:pPr>
            <w:r>
              <w:rPr>
                <w:rFonts w:ascii="Arial" w:hAnsi="Arial" w:cs="Arial"/>
                <w:sz w:val="22"/>
                <w:szCs w:val="22"/>
              </w:rPr>
              <w:t>N</w:t>
            </w:r>
          </w:p>
        </w:tc>
        <w:tc>
          <w:tcPr>
            <w:tcW w:w="2070" w:type="dxa"/>
            <w:vAlign w:val="center"/>
          </w:tcPr>
          <w:p w14:paraId="560CCA62" w14:textId="77777777" w:rsidR="00D52799" w:rsidRPr="00D91928" w:rsidRDefault="00D52799" w:rsidP="00D52799">
            <w:pPr>
              <w:pStyle w:val="Table"/>
              <w:rPr>
                <w:sz w:val="22"/>
                <w:szCs w:val="22"/>
              </w:rPr>
            </w:pPr>
            <w:r>
              <w:rPr>
                <w:sz w:val="22"/>
                <w:szCs w:val="22"/>
              </w:rPr>
              <w:t>M</w:t>
            </w:r>
          </w:p>
        </w:tc>
        <w:tc>
          <w:tcPr>
            <w:tcW w:w="2340" w:type="dxa"/>
            <w:vAlign w:val="center"/>
          </w:tcPr>
          <w:p w14:paraId="43BCFC13" w14:textId="77777777" w:rsidR="00D52799" w:rsidRPr="00D91928" w:rsidRDefault="00D52799" w:rsidP="00D52799">
            <w:pPr>
              <w:pStyle w:val="Table"/>
              <w:rPr>
                <w:sz w:val="22"/>
                <w:szCs w:val="22"/>
              </w:rPr>
            </w:pPr>
            <w:r>
              <w:rPr>
                <w:sz w:val="22"/>
                <w:szCs w:val="22"/>
              </w:rPr>
              <w:t>R</w:t>
            </w:r>
          </w:p>
        </w:tc>
      </w:tr>
      <w:tr w:rsidR="00D52799" w:rsidRPr="00C55A42" w14:paraId="3ED52C4C" w14:textId="77777777" w:rsidTr="00151794">
        <w:trPr>
          <w:trHeight w:val="535"/>
        </w:trPr>
        <w:tc>
          <w:tcPr>
            <w:tcW w:w="2800" w:type="dxa"/>
            <w:vAlign w:val="center"/>
          </w:tcPr>
          <w:p w14:paraId="7E5AA952" w14:textId="77777777" w:rsidR="00D52799" w:rsidRPr="00C55A42" w:rsidRDefault="00D52799" w:rsidP="00453396">
            <w:pPr>
              <w:pStyle w:val="Table"/>
              <w:jc w:val="left"/>
              <w:rPr>
                <w:sz w:val="22"/>
                <w:szCs w:val="22"/>
              </w:rPr>
            </w:pPr>
            <w:r>
              <w:rPr>
                <w:sz w:val="22"/>
                <w:szCs w:val="22"/>
              </w:rPr>
              <w:t>AMERICAN SAMOA</w:t>
            </w:r>
          </w:p>
        </w:tc>
        <w:tc>
          <w:tcPr>
            <w:tcW w:w="1620" w:type="dxa"/>
            <w:vAlign w:val="center"/>
          </w:tcPr>
          <w:p w14:paraId="771EA9D1" w14:textId="77777777" w:rsidR="00D52799" w:rsidRPr="00C55A42" w:rsidRDefault="00D52799" w:rsidP="00D52799">
            <w:pPr>
              <w:pStyle w:val="Table"/>
              <w:rPr>
                <w:rFonts w:ascii="Arial" w:hAnsi="Arial" w:cs="Arial"/>
                <w:sz w:val="22"/>
                <w:szCs w:val="22"/>
              </w:rPr>
            </w:pPr>
            <w:r>
              <w:rPr>
                <w:rFonts w:ascii="Arial" w:hAnsi="Arial" w:cs="Arial"/>
                <w:sz w:val="22"/>
                <w:szCs w:val="22"/>
              </w:rPr>
              <w:t>N</w:t>
            </w:r>
          </w:p>
        </w:tc>
        <w:tc>
          <w:tcPr>
            <w:tcW w:w="2070" w:type="dxa"/>
            <w:vAlign w:val="center"/>
          </w:tcPr>
          <w:p w14:paraId="6E65C104" w14:textId="77777777" w:rsidR="00D52799" w:rsidRPr="00D91928" w:rsidRDefault="00D52799" w:rsidP="00D52799">
            <w:pPr>
              <w:pStyle w:val="Table"/>
              <w:rPr>
                <w:sz w:val="22"/>
                <w:szCs w:val="22"/>
              </w:rPr>
            </w:pPr>
            <w:r>
              <w:rPr>
                <w:sz w:val="22"/>
                <w:szCs w:val="22"/>
              </w:rPr>
              <w:t>M</w:t>
            </w:r>
          </w:p>
        </w:tc>
        <w:tc>
          <w:tcPr>
            <w:tcW w:w="2340" w:type="dxa"/>
            <w:vAlign w:val="center"/>
          </w:tcPr>
          <w:p w14:paraId="50AAADAA" w14:textId="77777777" w:rsidR="00D52799" w:rsidRPr="00D91928" w:rsidRDefault="00D52799" w:rsidP="00D52799">
            <w:pPr>
              <w:pStyle w:val="Table"/>
              <w:rPr>
                <w:sz w:val="22"/>
                <w:szCs w:val="22"/>
              </w:rPr>
            </w:pPr>
            <w:r>
              <w:rPr>
                <w:sz w:val="22"/>
                <w:szCs w:val="22"/>
              </w:rPr>
              <w:t>R</w:t>
            </w:r>
          </w:p>
        </w:tc>
      </w:tr>
      <w:tr w:rsidR="00D52799" w:rsidRPr="00C55A42" w14:paraId="1CDB8F1A" w14:textId="77777777" w:rsidTr="00151794">
        <w:trPr>
          <w:trHeight w:val="535"/>
        </w:trPr>
        <w:tc>
          <w:tcPr>
            <w:tcW w:w="2800" w:type="dxa"/>
            <w:vAlign w:val="center"/>
          </w:tcPr>
          <w:p w14:paraId="13113BC6" w14:textId="77777777" w:rsidR="00D52799" w:rsidRPr="00C55A42" w:rsidRDefault="00D52799" w:rsidP="00453396">
            <w:pPr>
              <w:pStyle w:val="Table"/>
              <w:jc w:val="left"/>
              <w:rPr>
                <w:sz w:val="22"/>
                <w:szCs w:val="22"/>
              </w:rPr>
            </w:pPr>
            <w:r>
              <w:rPr>
                <w:sz w:val="22"/>
                <w:szCs w:val="22"/>
              </w:rPr>
              <w:t>ANDORRA</w:t>
            </w:r>
          </w:p>
        </w:tc>
        <w:tc>
          <w:tcPr>
            <w:tcW w:w="1620" w:type="dxa"/>
            <w:vAlign w:val="center"/>
          </w:tcPr>
          <w:p w14:paraId="172EDE71" w14:textId="77777777" w:rsidR="00D52799" w:rsidRPr="00C55A42" w:rsidRDefault="00D52799" w:rsidP="00D52799">
            <w:pPr>
              <w:pStyle w:val="Table"/>
              <w:rPr>
                <w:rFonts w:ascii="Arial" w:hAnsi="Arial" w:cs="Arial"/>
                <w:sz w:val="22"/>
                <w:szCs w:val="22"/>
              </w:rPr>
            </w:pPr>
            <w:r>
              <w:rPr>
                <w:rFonts w:ascii="Arial" w:hAnsi="Arial" w:cs="Arial"/>
                <w:sz w:val="22"/>
                <w:szCs w:val="22"/>
              </w:rPr>
              <w:t>N</w:t>
            </w:r>
          </w:p>
        </w:tc>
        <w:tc>
          <w:tcPr>
            <w:tcW w:w="2070" w:type="dxa"/>
            <w:vAlign w:val="center"/>
          </w:tcPr>
          <w:p w14:paraId="7C1861C6" w14:textId="77777777" w:rsidR="00D52799" w:rsidRPr="00D91928" w:rsidRDefault="00D52799" w:rsidP="00D52799">
            <w:pPr>
              <w:pStyle w:val="Table"/>
              <w:rPr>
                <w:sz w:val="22"/>
                <w:szCs w:val="22"/>
              </w:rPr>
            </w:pPr>
            <w:r>
              <w:rPr>
                <w:sz w:val="22"/>
                <w:szCs w:val="22"/>
              </w:rPr>
              <w:t>M</w:t>
            </w:r>
          </w:p>
        </w:tc>
        <w:tc>
          <w:tcPr>
            <w:tcW w:w="2340" w:type="dxa"/>
            <w:vAlign w:val="center"/>
          </w:tcPr>
          <w:p w14:paraId="4E6BE922" w14:textId="77777777" w:rsidR="00D52799" w:rsidRPr="00D91928" w:rsidRDefault="00D52799" w:rsidP="00D52799">
            <w:pPr>
              <w:pStyle w:val="Table"/>
              <w:rPr>
                <w:sz w:val="22"/>
                <w:szCs w:val="22"/>
              </w:rPr>
            </w:pPr>
            <w:r>
              <w:rPr>
                <w:sz w:val="22"/>
                <w:szCs w:val="22"/>
              </w:rPr>
              <w:t>R</w:t>
            </w:r>
          </w:p>
        </w:tc>
      </w:tr>
      <w:tr w:rsidR="00D52799" w:rsidRPr="00C55A42" w14:paraId="00D8AF8D" w14:textId="77777777" w:rsidTr="00151794">
        <w:trPr>
          <w:trHeight w:val="535"/>
        </w:trPr>
        <w:tc>
          <w:tcPr>
            <w:tcW w:w="2800" w:type="dxa"/>
            <w:vAlign w:val="center"/>
          </w:tcPr>
          <w:p w14:paraId="2E0D9271" w14:textId="77777777" w:rsidR="00D52799" w:rsidRPr="00C55A42" w:rsidRDefault="00D52799" w:rsidP="00453396">
            <w:pPr>
              <w:pStyle w:val="Table"/>
              <w:jc w:val="left"/>
              <w:rPr>
                <w:sz w:val="22"/>
                <w:szCs w:val="22"/>
              </w:rPr>
            </w:pPr>
            <w:r w:rsidRPr="00C55A42">
              <w:rPr>
                <w:sz w:val="22"/>
                <w:szCs w:val="22"/>
              </w:rPr>
              <w:t xml:space="preserve">Total </w:t>
            </w:r>
          </w:p>
        </w:tc>
        <w:tc>
          <w:tcPr>
            <w:tcW w:w="1620" w:type="dxa"/>
            <w:vAlign w:val="center"/>
          </w:tcPr>
          <w:p w14:paraId="59B7C327" w14:textId="77777777" w:rsidR="00D52799" w:rsidRPr="00C55A42" w:rsidRDefault="00D52799" w:rsidP="00D52799">
            <w:pPr>
              <w:pStyle w:val="Table"/>
              <w:rPr>
                <w:sz w:val="22"/>
                <w:szCs w:val="22"/>
              </w:rPr>
            </w:pPr>
            <w:r w:rsidRPr="00C55A42">
              <w:rPr>
                <w:rFonts w:ascii="Arial" w:hAnsi="Arial" w:cs="Arial"/>
                <w:sz w:val="22"/>
                <w:szCs w:val="22"/>
              </w:rPr>
              <w:t>∑</w:t>
            </w:r>
            <w:r w:rsidRPr="00C55A42">
              <w:rPr>
                <w:sz w:val="22"/>
                <w:szCs w:val="22"/>
              </w:rPr>
              <w:t xml:space="preserve"> N</w:t>
            </w:r>
          </w:p>
        </w:tc>
        <w:tc>
          <w:tcPr>
            <w:tcW w:w="2070" w:type="dxa"/>
            <w:vAlign w:val="center"/>
          </w:tcPr>
          <w:p w14:paraId="79C6A1A8" w14:textId="77777777" w:rsidR="00D52799" w:rsidRPr="00C55A42" w:rsidRDefault="00D52799" w:rsidP="00D52799">
            <w:pPr>
              <w:pStyle w:val="Table"/>
              <w:rPr>
                <w:sz w:val="22"/>
                <w:szCs w:val="22"/>
              </w:rPr>
            </w:pPr>
            <w:r>
              <w:rPr>
                <w:rFonts w:ascii="Times New Roman" w:hAnsi="Times New Roman"/>
                <w:sz w:val="22"/>
                <w:szCs w:val="22"/>
              </w:rPr>
              <w:t>∑</w:t>
            </w:r>
            <w:r>
              <w:rPr>
                <w:sz w:val="22"/>
                <w:szCs w:val="22"/>
              </w:rPr>
              <w:t xml:space="preserve"> M</w:t>
            </w:r>
          </w:p>
        </w:tc>
        <w:tc>
          <w:tcPr>
            <w:tcW w:w="2340" w:type="dxa"/>
            <w:vAlign w:val="center"/>
          </w:tcPr>
          <w:p w14:paraId="543498D9" w14:textId="77777777" w:rsidR="00D52799" w:rsidRPr="00C55A42" w:rsidRDefault="00D52799" w:rsidP="00D52799">
            <w:pPr>
              <w:pStyle w:val="Table"/>
              <w:rPr>
                <w:sz w:val="22"/>
                <w:szCs w:val="22"/>
              </w:rPr>
            </w:pPr>
            <w:r>
              <w:rPr>
                <w:rFonts w:ascii="Times New Roman" w:hAnsi="Times New Roman"/>
                <w:sz w:val="22"/>
                <w:szCs w:val="22"/>
              </w:rPr>
              <w:t>∑</w:t>
            </w:r>
            <w:r>
              <w:rPr>
                <w:sz w:val="22"/>
                <w:szCs w:val="22"/>
              </w:rPr>
              <w:t xml:space="preserve"> R</w:t>
            </w:r>
          </w:p>
        </w:tc>
      </w:tr>
    </w:tbl>
    <w:p w14:paraId="13D36B39" w14:textId="06BEA2E4" w:rsidR="00D91928" w:rsidRPr="001C5CEB" w:rsidRDefault="00B06EC6" w:rsidP="001C5CEB">
      <w:pPr>
        <w:pStyle w:val="Caption"/>
      </w:pPr>
      <w:bookmarkStart w:id="17" w:name="_Ref419633283"/>
      <w:bookmarkStart w:id="18" w:name="_Toc268528208"/>
      <w:r w:rsidRPr="0070363B">
        <w:t xml:space="preserve">Table </w:t>
      </w:r>
      <w:r w:rsidR="00D9131B">
        <w:fldChar w:fldCharType="begin"/>
      </w:r>
      <w:r>
        <w:instrText xml:space="preserve"> STYLEREF 1 \s </w:instrText>
      </w:r>
      <w:r w:rsidR="00D9131B">
        <w:fldChar w:fldCharType="separate"/>
      </w:r>
      <w:r w:rsidR="004D1729">
        <w:rPr>
          <w:noProof/>
          <w:cs/>
        </w:rPr>
        <w:t>‎</w:t>
      </w:r>
      <w:r w:rsidR="004D1729">
        <w:rPr>
          <w:noProof/>
        </w:rPr>
        <w:t>3</w:t>
      </w:r>
      <w:r w:rsidR="00D9131B">
        <w:rPr>
          <w:noProof/>
        </w:rPr>
        <w:fldChar w:fldCharType="end"/>
      </w:r>
      <w:r>
        <w:noBreakHyphen/>
      </w:r>
      <w:r w:rsidR="00D9131B">
        <w:fldChar w:fldCharType="begin"/>
      </w:r>
      <w:r>
        <w:instrText xml:space="preserve"> SEQ Table \* ARABIC \s 1 </w:instrText>
      </w:r>
      <w:r w:rsidR="00D9131B">
        <w:fldChar w:fldCharType="separate"/>
      </w:r>
      <w:r w:rsidR="004D1729">
        <w:rPr>
          <w:noProof/>
        </w:rPr>
        <w:t>3</w:t>
      </w:r>
      <w:r w:rsidR="00D9131B">
        <w:rPr>
          <w:noProof/>
        </w:rPr>
        <w:fldChar w:fldCharType="end"/>
      </w:r>
      <w:bookmarkEnd w:id="17"/>
      <w:r>
        <w:rPr>
          <w:noProof/>
        </w:rPr>
        <w:t>:</w:t>
      </w:r>
      <w:r w:rsidRPr="0070363B">
        <w:t xml:space="preserve"> </w:t>
      </w:r>
      <w:r w:rsidR="00D91928" w:rsidRPr="001C5CEB">
        <w:t>International Outbound Calls</w:t>
      </w:r>
      <w:bookmarkEnd w:id="18"/>
      <w:r w:rsidR="00453396">
        <w:t xml:space="preserve"> (International Leg)</w:t>
      </w:r>
    </w:p>
    <w:p w14:paraId="30C529A0" w14:textId="77777777" w:rsidR="001C5CEB" w:rsidRPr="00523FFE" w:rsidRDefault="001C5CEB" w:rsidP="001C5CEB">
      <w:pPr>
        <w:pStyle w:val="ListParagraph"/>
      </w:pPr>
      <w:r w:rsidRPr="0090337B">
        <w:t xml:space="preserve">Transit segment call numbers are referenced in parentheses to avoid double-counting; each transit call shall also appear as an international call, referenced by destination.  Call quantities in parentheses shall not be included in the summation to yield the total number of calls </w:t>
      </w:r>
      <w:r w:rsidRPr="0090337B">
        <w:rPr>
          <w:rFonts w:ascii="Arial" w:hAnsi="Arial"/>
        </w:rPr>
        <w:t>∑</w:t>
      </w:r>
      <w:r w:rsidRPr="0090337B">
        <w:t>N</w:t>
      </w:r>
    </w:p>
    <w:p w14:paraId="16DA9BC8" w14:textId="77777777" w:rsidR="001C5CEB" w:rsidRDefault="001C5CEB" w:rsidP="001C5CEB">
      <w:pPr>
        <w:pStyle w:val="ListParagraph"/>
      </w:pPr>
      <w:r w:rsidRPr="008B070B">
        <w:rPr>
          <w:iCs/>
        </w:rPr>
        <w:lastRenderedPageBreak/>
        <w:t>The</w:t>
      </w:r>
      <w:r w:rsidRPr="008B070B">
        <w:t xml:space="preserve"> total duration of all Calls shall be itemized in the Service Usage Report in minutes and seconds and summarized, then rounded up to the next number of whole minute</w:t>
      </w:r>
      <w:r w:rsidR="009677BF">
        <w:t>s</w:t>
      </w:r>
      <w:r w:rsidRPr="008B070B">
        <w:t xml:space="preserve"> for each Interconnection Service</w:t>
      </w:r>
      <w:r>
        <w:t>.</w:t>
      </w:r>
    </w:p>
    <w:p w14:paraId="5B970FC6" w14:textId="77777777" w:rsidR="001C5CEB" w:rsidRDefault="001C5CEB" w:rsidP="001C5CEB">
      <w:pPr>
        <w:pStyle w:val="ListParagraph"/>
      </w:pPr>
      <w:r w:rsidRPr="008B070B">
        <w:t xml:space="preserve">The </w:t>
      </w:r>
      <w:r>
        <w:t xml:space="preserve">Interconnection </w:t>
      </w:r>
      <w:r w:rsidRPr="008B070B">
        <w:t xml:space="preserve">Usage Report and </w:t>
      </w:r>
      <w:r>
        <w:t>Interconnection</w:t>
      </w:r>
      <w:r w:rsidRPr="008B070B">
        <w:t xml:space="preserve"> General Report shall be provided by the Billing Party to the other Party together with the resulting invoice</w:t>
      </w:r>
      <w:r w:rsidRPr="008B070B">
        <w:rPr>
          <w:b/>
          <w:i/>
        </w:rPr>
        <w:t xml:space="preserve"> </w:t>
      </w:r>
      <w:r w:rsidRPr="008B070B">
        <w:t>based upon the said reports not later than 5 weeks after the end of each Billing Period</w:t>
      </w:r>
      <w:r w:rsidR="009677BF">
        <w:t>.</w:t>
      </w:r>
    </w:p>
    <w:p w14:paraId="4D450565" w14:textId="77777777" w:rsidR="001C5CEB" w:rsidRDefault="001C5CEB" w:rsidP="001C5CEB">
      <w:pPr>
        <w:pStyle w:val="ListParagraph"/>
      </w:pPr>
      <w:r w:rsidRPr="008B070B">
        <w:t xml:space="preserve">The Billing Period for </w:t>
      </w:r>
      <w:r>
        <w:t xml:space="preserve">Interconnection </w:t>
      </w:r>
      <w:r w:rsidRPr="008B070B">
        <w:t>Traffic shall be monthly commencing from 00.00 hours on the 1st day of each calendar mont</w:t>
      </w:r>
      <w:r>
        <w:t>h and ending at 23:59:59 hours on the last day of the month.</w:t>
      </w:r>
    </w:p>
    <w:p w14:paraId="75F79330" w14:textId="77777777" w:rsidR="001C5CEB" w:rsidRDefault="001C5CEB" w:rsidP="001C5CEB">
      <w:pPr>
        <w:pStyle w:val="ListParagraph"/>
      </w:pPr>
      <w:r w:rsidRPr="004F21E9">
        <w:t>The Billing Party shall for a period of 24 months store all individual CDRs associated with an invoice</w:t>
      </w:r>
      <w:r>
        <w:t>.</w:t>
      </w:r>
    </w:p>
    <w:p w14:paraId="35D694BF" w14:textId="77777777" w:rsidR="001C5CEB" w:rsidRPr="004F21E9" w:rsidRDefault="001C5CEB" w:rsidP="001C5CEB">
      <w:pPr>
        <w:pStyle w:val="ListParagraph"/>
      </w:pPr>
      <w:r w:rsidRPr="004F21E9">
        <w:t>The Billing Party shall, for a period of 36 months after each Billing Period, store the Billing Information in such summary format and in such amounts as shall be sufficient to recalculate the amounts due from one Party to the other to take account of changes in the relevant prices</w:t>
      </w:r>
      <w:r>
        <w:t>.</w:t>
      </w:r>
    </w:p>
    <w:p w14:paraId="0415240E" w14:textId="58B6672C" w:rsidR="001C5CEB" w:rsidRPr="00A3196C" w:rsidRDefault="001C5CEB" w:rsidP="001C5CEB">
      <w:pPr>
        <w:pStyle w:val="ListParagraph"/>
      </w:pPr>
      <w:r w:rsidRPr="004F21E9">
        <w:t xml:space="preserve">If </w:t>
      </w:r>
      <w:r w:rsidRPr="00A3196C">
        <w:rPr>
          <w:iCs/>
        </w:rPr>
        <w:t>the Network or the Billing System of either Party malfunctions and fails</w:t>
      </w:r>
      <w:r w:rsidRPr="004F21E9">
        <w:t xml:space="preserve"> to provide all of the Billing Information necessary for the Billing Party to prepare an invoice, the Billed </w:t>
      </w:r>
      <w:r w:rsidRPr="00A3196C">
        <w:rPr>
          <w:iCs/>
        </w:rPr>
        <w:t xml:space="preserve">Party </w:t>
      </w:r>
      <w:r w:rsidRPr="004F21E9">
        <w:t xml:space="preserve">shall (at a reasonable cost charged to the Billing Party by the Billed Party) at the request of the Billing Party use its reasonable effort to supply </w:t>
      </w:r>
      <w:r w:rsidRPr="00A3196C">
        <w:rPr>
          <w:iCs/>
        </w:rPr>
        <w:t>using its own sources of such information</w:t>
      </w:r>
      <w:r w:rsidRPr="00A3196C">
        <w:rPr>
          <w:i/>
        </w:rPr>
        <w:t xml:space="preserve"> </w:t>
      </w:r>
      <w:r w:rsidRPr="004F21E9">
        <w:t xml:space="preserve">the missing Billing Information to the Billing Party. There shall be no legal liability on the Billing Party </w:t>
      </w:r>
      <w:r w:rsidRPr="00A3196C">
        <w:rPr>
          <w:iCs/>
        </w:rPr>
        <w:t>or the Billed Party</w:t>
      </w:r>
      <w:r w:rsidRPr="00A3196C">
        <w:rPr>
          <w:i/>
        </w:rPr>
        <w:t xml:space="preserve"> </w:t>
      </w:r>
      <w:r w:rsidRPr="004F21E9">
        <w:t xml:space="preserve">for the preparation of an incorrect invoice resulting from inaccuracies in such Billing Information provided by the </w:t>
      </w:r>
      <w:r w:rsidRPr="00A3196C">
        <w:rPr>
          <w:iCs/>
        </w:rPr>
        <w:t xml:space="preserve">Billed </w:t>
      </w:r>
      <w:r w:rsidRPr="006A0F00">
        <w:t>Party to the Billing Party</w:t>
      </w:r>
      <w:r w:rsidR="006A0F00" w:rsidRPr="006A0F00">
        <w:t>, except for gross negligence or instances of fraud by the Billed Party</w:t>
      </w:r>
      <w:r w:rsidRPr="006A0F00">
        <w:t>. The Parties acknowledge that Billing Information supplied by the Billed Party</w:t>
      </w:r>
      <w:r w:rsidRPr="00A3196C">
        <w:rPr>
          <w:iCs/>
        </w:rPr>
        <w:t xml:space="preserve"> pursuant to this Clause shall have been supplied via a verification system (rather than a Billing System) and the Billed Party cannot warrant that the information is free of error</w:t>
      </w:r>
      <w:r w:rsidRPr="00A3196C">
        <w:t xml:space="preserve">. </w:t>
      </w:r>
    </w:p>
    <w:p w14:paraId="3A14D732" w14:textId="77777777" w:rsidR="001C5CEB" w:rsidRPr="004F21E9" w:rsidRDefault="001C5CEB" w:rsidP="001C5CEB">
      <w:pPr>
        <w:pStyle w:val="ListParagraph"/>
      </w:pPr>
      <w:r w:rsidRPr="004F21E9">
        <w:t xml:space="preserve">In the event that the CDR Data and / or Billing Information upon which the Billing Party would normally base an invoice is lost for whatever reason, and the Billing Party is not able to issue an invoice for a Billing Period using such Billing Information, the Billing Party may estimate such information.  The Billing Party shall advise the Billed Party of the fact that any </w:t>
      </w:r>
      <w:r w:rsidRPr="004F21E9">
        <w:lastRenderedPageBreak/>
        <w:t>invoice is estimated rather than based upon CDR Data together with the Billing Information for the relevant Billing Period together with the reasons for using estimates.</w:t>
      </w:r>
    </w:p>
    <w:p w14:paraId="4C907626" w14:textId="77777777" w:rsidR="001C5CEB" w:rsidRPr="004F21E9" w:rsidRDefault="001C5CEB" w:rsidP="001C5CEB">
      <w:pPr>
        <w:pStyle w:val="ListParagraph"/>
      </w:pPr>
      <w:r w:rsidRPr="004F21E9">
        <w:t>If either of the Parties’ monitoring of its Billing Information indicates a Persistent Inconsistency in reconciling or verifying Billing Information provided by the other, the Parties shall use their reasonable endeavours to ascertain the cause of such inconsistency and shall cooperate fully with each other in so doing</w:t>
      </w:r>
      <w:r>
        <w:t>.</w:t>
      </w:r>
    </w:p>
    <w:p w14:paraId="5D11799A" w14:textId="5B7FACB7" w:rsidR="001C5CEB" w:rsidRPr="004F21E9" w:rsidRDefault="001C5CEB" w:rsidP="001C5CEB">
      <w:pPr>
        <w:pStyle w:val="ListParagraph"/>
      </w:pPr>
      <w:r w:rsidRPr="004F21E9">
        <w:rPr>
          <w:iCs/>
        </w:rPr>
        <w:t xml:space="preserve">Subject to </w:t>
      </w:r>
      <w:r w:rsidR="00316296">
        <w:rPr>
          <w:iCs/>
        </w:rPr>
        <w:t>Clause</w:t>
      </w:r>
      <w:r w:rsidRPr="004F21E9">
        <w:rPr>
          <w:iCs/>
        </w:rPr>
        <w:t xml:space="preserve"> </w:t>
      </w:r>
      <w:r w:rsidR="00D9131B">
        <w:rPr>
          <w:iCs/>
        </w:rPr>
        <w:fldChar w:fldCharType="begin"/>
      </w:r>
      <w:r>
        <w:rPr>
          <w:iCs/>
        </w:rPr>
        <w:instrText xml:space="preserve"> REF _Ref331837789 \n \h  \* MERGEFORMAT </w:instrText>
      </w:r>
      <w:r w:rsidR="00D9131B">
        <w:rPr>
          <w:iCs/>
        </w:rPr>
      </w:r>
      <w:r w:rsidR="00D9131B">
        <w:rPr>
          <w:iCs/>
        </w:rPr>
        <w:fldChar w:fldCharType="separate"/>
      </w:r>
      <w:r w:rsidR="004D1729">
        <w:rPr>
          <w:iCs/>
          <w:cs/>
        </w:rPr>
        <w:t>‎</w:t>
      </w:r>
      <w:r w:rsidR="004D1729">
        <w:rPr>
          <w:iCs/>
        </w:rPr>
        <w:t>6</w:t>
      </w:r>
      <w:r w:rsidR="00D9131B">
        <w:rPr>
          <w:iCs/>
        </w:rPr>
        <w:fldChar w:fldCharType="end"/>
      </w:r>
      <w:r w:rsidRPr="004F21E9">
        <w:rPr>
          <w:iCs/>
        </w:rPr>
        <w:t xml:space="preserve"> of this Annex B final</w:t>
      </w:r>
      <w:r w:rsidRPr="004F21E9">
        <w:t xml:space="preserve"> full clearing of estimated invoices must take place within 3 months of the date of issue of the estimated invoice</w:t>
      </w:r>
      <w:r>
        <w:t>.</w:t>
      </w:r>
    </w:p>
    <w:p w14:paraId="0272F512" w14:textId="77777777" w:rsidR="00B04545" w:rsidRDefault="001C5CEB" w:rsidP="001C5CEB">
      <w:pPr>
        <w:pStyle w:val="Heading1"/>
      </w:pPr>
      <w:bookmarkStart w:id="19" w:name="_Toc521161506"/>
      <w:r>
        <w:lastRenderedPageBreak/>
        <w:t>Invoices</w:t>
      </w:r>
      <w:bookmarkEnd w:id="19"/>
    </w:p>
    <w:p w14:paraId="0F306B24" w14:textId="4509E020" w:rsidR="001C5CEB" w:rsidRDefault="001C5CEB" w:rsidP="004E73FE">
      <w:pPr>
        <w:pStyle w:val="ListParagraph"/>
      </w:pPr>
      <w:r w:rsidRPr="004F21E9">
        <w:t xml:space="preserve">At the end of each Billing Period the Billing Party shall submit to the other Party, invoices for charges for Calls as outlined in </w:t>
      </w:r>
      <w:r>
        <w:t xml:space="preserve">Clause </w:t>
      </w:r>
      <w:r w:rsidR="00D9131B">
        <w:fldChar w:fldCharType="begin"/>
      </w:r>
      <w:r>
        <w:instrText xml:space="preserve"> REF _Ref416256275 \r \h </w:instrText>
      </w:r>
      <w:r w:rsidR="00D9131B">
        <w:fldChar w:fldCharType="separate"/>
      </w:r>
      <w:r w:rsidR="004D1729">
        <w:rPr>
          <w:cs/>
        </w:rPr>
        <w:t>‎</w:t>
      </w:r>
      <w:r w:rsidR="004D1729">
        <w:t>3</w:t>
      </w:r>
      <w:r w:rsidR="00D9131B">
        <w:fldChar w:fldCharType="end"/>
      </w:r>
      <w:r>
        <w:t xml:space="preserve"> </w:t>
      </w:r>
      <w:r w:rsidRPr="004F21E9">
        <w:t>and other services provided as part of this Agreement for which the Billing Party is entitled to charge the other Party during such Billing Period</w:t>
      </w:r>
      <w:r w:rsidR="0026124F">
        <w:t xml:space="preserve"> unless and otherwise stated in Clause </w:t>
      </w:r>
      <w:r w:rsidR="0026124F">
        <w:fldChar w:fldCharType="begin"/>
      </w:r>
      <w:r w:rsidR="0026124F">
        <w:instrText xml:space="preserve"> REF _Ref467050121 \r \h </w:instrText>
      </w:r>
      <w:r w:rsidR="0026124F">
        <w:fldChar w:fldCharType="separate"/>
      </w:r>
      <w:r w:rsidR="004D1729">
        <w:rPr>
          <w:cs/>
        </w:rPr>
        <w:t>‎</w:t>
      </w:r>
      <w:r w:rsidR="004D1729">
        <w:t>4.5</w:t>
      </w:r>
      <w:r w:rsidR="0026124F">
        <w:fldChar w:fldCharType="end"/>
      </w:r>
      <w:r w:rsidRPr="004F21E9">
        <w:t xml:space="preserve">. </w:t>
      </w:r>
    </w:p>
    <w:p w14:paraId="4F8AEF04" w14:textId="77777777" w:rsidR="001C5CEB" w:rsidRDefault="001C5CEB" w:rsidP="001C5CEB">
      <w:pPr>
        <w:pStyle w:val="ListParagraph"/>
      </w:pPr>
      <w:r w:rsidRPr="004F21E9">
        <w:rPr>
          <w:iCs/>
        </w:rPr>
        <w:t>Any</w:t>
      </w:r>
      <w:r w:rsidRPr="004F21E9">
        <w:t xml:space="preserve"> invoice or credit note transmitted between the Parties will contain the following information, in addition to </w:t>
      </w:r>
      <w:r>
        <w:t>any legally required information</w:t>
      </w:r>
    </w:p>
    <w:p w14:paraId="20003A02" w14:textId="77777777" w:rsidR="001C5CEB" w:rsidRPr="00047CF7" w:rsidRDefault="001C5CEB" w:rsidP="008B0ED4">
      <w:pPr>
        <w:pStyle w:val="listParagrapha"/>
        <w:numPr>
          <w:ilvl w:val="0"/>
          <w:numId w:val="9"/>
        </w:numPr>
      </w:pPr>
      <w:r w:rsidRPr="00047CF7">
        <w:t>Relevant Billing Period;</w:t>
      </w:r>
    </w:p>
    <w:p w14:paraId="43BE1221" w14:textId="21E1B912" w:rsidR="001C5CEB" w:rsidRPr="00047CF7" w:rsidRDefault="001C5CEB" w:rsidP="00047CF7">
      <w:pPr>
        <w:pStyle w:val="listParagrapha"/>
      </w:pPr>
      <w:r w:rsidRPr="00047CF7">
        <w:t xml:space="preserve">Reference to the </w:t>
      </w:r>
      <w:r w:rsidR="000769CF">
        <w:t xml:space="preserve">Access and/ or </w:t>
      </w:r>
      <w:r w:rsidRPr="00047CF7">
        <w:t>Interconnection Reports on which the invoice is based;</w:t>
      </w:r>
    </w:p>
    <w:p w14:paraId="6DCA46B0" w14:textId="77777777" w:rsidR="001C5CEB" w:rsidRPr="00047CF7" w:rsidRDefault="001C5CEB" w:rsidP="00047CF7">
      <w:pPr>
        <w:pStyle w:val="listParagrapha"/>
      </w:pPr>
      <w:r w:rsidRPr="00047CF7">
        <w:t xml:space="preserve">Total net amount in Omani </w:t>
      </w:r>
      <w:proofErr w:type="spellStart"/>
      <w:r w:rsidRPr="00047CF7">
        <w:t>Rials</w:t>
      </w:r>
      <w:proofErr w:type="spellEnd"/>
      <w:r w:rsidRPr="00047CF7">
        <w:t>;</w:t>
      </w:r>
    </w:p>
    <w:p w14:paraId="0406D1D1" w14:textId="77777777" w:rsidR="001C5CEB" w:rsidRPr="00047CF7" w:rsidRDefault="001C5CEB" w:rsidP="00047CF7">
      <w:pPr>
        <w:pStyle w:val="listParagrapha"/>
      </w:pPr>
      <w:r w:rsidRPr="00047CF7">
        <w:t>Relevant Tax amount;</w:t>
      </w:r>
    </w:p>
    <w:p w14:paraId="14ABE66A" w14:textId="77777777" w:rsidR="001C5CEB" w:rsidRPr="00047CF7" w:rsidRDefault="001C5CEB" w:rsidP="00047CF7">
      <w:pPr>
        <w:pStyle w:val="listParagrapha"/>
      </w:pPr>
      <w:r w:rsidRPr="00047CF7">
        <w:t xml:space="preserve">Total amount due in Omani </w:t>
      </w:r>
      <w:proofErr w:type="spellStart"/>
      <w:r w:rsidRPr="00047CF7">
        <w:t>Rials</w:t>
      </w:r>
      <w:proofErr w:type="spellEnd"/>
      <w:r w:rsidRPr="00047CF7">
        <w:t>;</w:t>
      </w:r>
    </w:p>
    <w:p w14:paraId="21B33FC9" w14:textId="77777777" w:rsidR="001C5CEB" w:rsidRPr="00047CF7" w:rsidRDefault="001C5CEB" w:rsidP="00047CF7">
      <w:pPr>
        <w:pStyle w:val="listParagrapha"/>
      </w:pPr>
      <w:r w:rsidRPr="00047CF7">
        <w:t>Date the Invoice was issued</w:t>
      </w:r>
      <w:r w:rsidR="009677BF">
        <w:t>;</w:t>
      </w:r>
    </w:p>
    <w:p w14:paraId="74A2BC3C" w14:textId="77777777" w:rsidR="001C5CEB" w:rsidRPr="00047CF7" w:rsidRDefault="001C5CEB" w:rsidP="00047CF7">
      <w:pPr>
        <w:pStyle w:val="listParagrapha"/>
      </w:pPr>
      <w:r w:rsidRPr="00047CF7">
        <w:t xml:space="preserve">Due Date for full payment. </w:t>
      </w:r>
    </w:p>
    <w:p w14:paraId="221C4F2C" w14:textId="7A2522A5" w:rsidR="001C5CEB" w:rsidRDefault="001C5CEB" w:rsidP="00725183">
      <w:pPr>
        <w:pStyle w:val="ListParagraph"/>
      </w:pPr>
      <w:r w:rsidRPr="004F21E9">
        <w:t xml:space="preserve">All charges payable under this Agreement shall be calculated in accordance with this Agreement and at the rates specified from time to time in the Annex </w:t>
      </w:r>
      <w:r>
        <w:t>M</w:t>
      </w:r>
      <w:r w:rsidRPr="004F21E9">
        <w:t xml:space="preserve">. Invoices submitted under this Agreement shall be paid in accordance with </w:t>
      </w:r>
      <w:r w:rsidR="00316296" w:rsidRPr="00725183">
        <w:t>Clause</w:t>
      </w:r>
      <w:r w:rsidRPr="00725183">
        <w:t xml:space="preserve"> </w:t>
      </w:r>
      <w:r w:rsidR="00725183">
        <w:t>9</w:t>
      </w:r>
      <w:r w:rsidRPr="004F21E9">
        <w:t xml:space="preserve"> (Billing and Payment) of the main body of this Agreement. </w:t>
      </w:r>
    </w:p>
    <w:p w14:paraId="33160AC0" w14:textId="77777777" w:rsidR="001C5CEB" w:rsidRDefault="001C5CEB" w:rsidP="00C64CA1">
      <w:pPr>
        <w:pStyle w:val="ListParagraph"/>
      </w:pPr>
      <w:r w:rsidRPr="004F21E9">
        <w:t>For the avoidance of doubt, an invoice (including an invoice based on estimated information) shall be dated as of the date of dispatch of that invoice</w:t>
      </w:r>
      <w:r>
        <w:t xml:space="preserve"> </w:t>
      </w:r>
      <w:r w:rsidRPr="0090337B">
        <w:t xml:space="preserve">and the date of dispatch shall be the date of issue of such invoice for the purposes of this </w:t>
      </w:r>
      <w:r w:rsidR="00C64CA1">
        <w:t>Access and In</w:t>
      </w:r>
      <w:r w:rsidRPr="0090337B">
        <w:t>terconnection Agreement</w:t>
      </w:r>
      <w:r w:rsidRPr="004F21E9">
        <w:t>.</w:t>
      </w:r>
    </w:p>
    <w:p w14:paraId="6FA73154" w14:textId="01267BAF" w:rsidR="001C5CEB" w:rsidRDefault="00C64CA1" w:rsidP="00163A8E">
      <w:pPr>
        <w:pStyle w:val="ListParagraph"/>
      </w:pPr>
      <w:bookmarkStart w:id="20" w:name="_Ref467050121"/>
      <w:r w:rsidRPr="004F21E9">
        <w:t xml:space="preserve">For </w:t>
      </w:r>
      <w:r w:rsidR="00ED6164">
        <w:t>S</w:t>
      </w:r>
      <w:r w:rsidRPr="004F21E9">
        <w:t>ervices other than Call traffic</w:t>
      </w:r>
      <w:r w:rsidR="00ED6164">
        <w:t>,</w:t>
      </w:r>
      <w:r w:rsidRPr="004F21E9">
        <w:t xml:space="preserve"> the Billing Party shall provide the invoice </w:t>
      </w:r>
      <w:r w:rsidR="00ED6164">
        <w:t xml:space="preserve">with </w:t>
      </w:r>
      <w:r w:rsidRPr="004F21E9">
        <w:t xml:space="preserve">supporting Billing Information to enable the </w:t>
      </w:r>
      <w:r w:rsidR="00ED6164">
        <w:t>Billed Party</w:t>
      </w:r>
      <w:r w:rsidR="004E73FE">
        <w:t xml:space="preserve"> to verify the </w:t>
      </w:r>
      <w:proofErr w:type="gramStart"/>
      <w:r w:rsidR="004E73FE">
        <w:t>charges</w:t>
      </w:r>
      <w:r w:rsidR="00ED6164">
        <w:t>.</w:t>
      </w:r>
      <w:r w:rsidR="004E73FE">
        <w:t xml:space="preserve"> </w:t>
      </w:r>
      <w:bookmarkEnd w:id="20"/>
      <w:r w:rsidR="00163A8E" w:rsidRPr="00163A8E">
        <w:t xml:space="preserve"> .</w:t>
      </w:r>
      <w:proofErr w:type="gramEnd"/>
      <w:r w:rsidR="00163A8E" w:rsidRPr="00163A8E">
        <w:t xml:space="preserve"> These invoices will be sent during the month in which the Providing Party enjoys the service. For the avoidance of doubt, only where it is expressly stated in the RAIO that the invoice shall be issued in </w:t>
      </w:r>
      <w:r w:rsidR="00163A8E" w:rsidRPr="00163A8E">
        <w:lastRenderedPageBreak/>
        <w:t>advance of the provision of the service this shall apply or where such a provision is approved by the TRA for any future services.</w:t>
      </w:r>
    </w:p>
    <w:p w14:paraId="2A6916C9" w14:textId="6F9EA6BA" w:rsidR="00905A88" w:rsidRDefault="00905A88" w:rsidP="00905A88">
      <w:pPr>
        <w:pStyle w:val="ListParagraph"/>
      </w:pPr>
      <w:r w:rsidRPr="00905A88">
        <w:t>For newly launched services, Omantel’s billing accuracy shall be at least 90% per Service averaged over the two billing periods for the first two invoicing periods following the launch of the new service. Thereafter, and for all already established services, the billing accuracy shall be no less than 99% per Service averaged over a calendar year</w:t>
      </w:r>
      <w:r>
        <w:t>.</w:t>
      </w:r>
    </w:p>
    <w:p w14:paraId="770B046A" w14:textId="0B0CCF1F" w:rsidR="00696BAA" w:rsidRDefault="00696BAA" w:rsidP="00905A88">
      <w:pPr>
        <w:pStyle w:val="ListParagraph"/>
        <w:numPr>
          <w:ilvl w:val="0"/>
          <w:numId w:val="0"/>
        </w:numPr>
        <w:ind w:left="864"/>
      </w:pPr>
    </w:p>
    <w:p w14:paraId="648CC53B" w14:textId="77777777" w:rsidR="001C5CEB" w:rsidRDefault="001C5CEB" w:rsidP="001C5CEB">
      <w:pPr>
        <w:pStyle w:val="Heading1"/>
      </w:pPr>
      <w:bookmarkStart w:id="21" w:name="_Toc521161507"/>
      <w:r>
        <w:lastRenderedPageBreak/>
        <w:t>Payments</w:t>
      </w:r>
      <w:bookmarkEnd w:id="21"/>
    </w:p>
    <w:p w14:paraId="07775F80" w14:textId="10FEDD5A" w:rsidR="001C5CEB" w:rsidRPr="004F21E9" w:rsidRDefault="001C5CEB" w:rsidP="003072BB">
      <w:pPr>
        <w:pStyle w:val="ListParagraph"/>
      </w:pPr>
      <w:bookmarkStart w:id="22" w:name="_Ref164406397"/>
      <w:r w:rsidRPr="004F21E9">
        <w:t xml:space="preserve">Subject to what is stated below, all charges detailed on invoices issued pursuant to this Agreement shall be payable by the Due </w:t>
      </w:r>
      <w:bookmarkStart w:id="23" w:name="_Ref89993469"/>
      <w:r w:rsidRPr="004F21E9">
        <w:t xml:space="preserve">Date. Invoices are due and payable in Omani </w:t>
      </w:r>
      <w:proofErr w:type="spellStart"/>
      <w:r w:rsidRPr="004F21E9">
        <w:t>Rials</w:t>
      </w:r>
      <w:proofErr w:type="spellEnd"/>
      <w:r w:rsidR="009B661B">
        <w:t xml:space="preserve"> and shall be transferred to the bank account as directed by Omantel</w:t>
      </w:r>
      <w:r w:rsidRPr="004F21E9">
        <w:t>. Invoices are payable within 30 Calendar Days from the date of their issue (the “Due Date”) unless otherwise agreed in writing. In the event that an invoice is not paid by the Due Date (and subject to any agreement to the contrary, decision or award pursuant to the process for resolution of Billing Disputes set out in Annex B hereof) the Billed Party shall pay, in addition to the amount of the invoice, interest thereon at the rate of</w:t>
      </w:r>
      <w:r w:rsidR="00D15482">
        <w:t xml:space="preserve"> 0.035%</w:t>
      </w:r>
      <w:r w:rsidRPr="004F21E9">
        <w:t xml:space="preserve"> per day from the Due Date until the date of payment in full of such invoice.  For the avoidance of doubt, the principle of “Simple Interest” shall apply; that is, interest shall accrue on the amount owing only and shall not be compounded</w:t>
      </w:r>
      <w:bookmarkEnd w:id="22"/>
      <w:bookmarkEnd w:id="23"/>
      <w:r>
        <w:t>.</w:t>
      </w:r>
    </w:p>
    <w:p w14:paraId="099756AB" w14:textId="440E24C0" w:rsidR="001C5CEB" w:rsidRDefault="001C5CEB" w:rsidP="001C5CEB">
      <w:pPr>
        <w:pStyle w:val="ListParagraph"/>
      </w:pPr>
      <w:bookmarkStart w:id="24" w:name="_Toc474290076"/>
      <w:r w:rsidRPr="004F21E9">
        <w:t xml:space="preserve">Any credit notes issued by a Billing Party or resulting from the dispute resolution process in </w:t>
      </w:r>
      <w:r>
        <w:t xml:space="preserve">clause </w:t>
      </w:r>
      <w:r w:rsidR="00D9131B">
        <w:fldChar w:fldCharType="begin"/>
      </w:r>
      <w:r>
        <w:instrText xml:space="preserve"> REF _Ref331672896 \n \h  \* MERGEFORMAT </w:instrText>
      </w:r>
      <w:r w:rsidR="00D9131B">
        <w:fldChar w:fldCharType="separate"/>
      </w:r>
      <w:r w:rsidR="004D1729">
        <w:rPr>
          <w:cs/>
        </w:rPr>
        <w:t>‎</w:t>
      </w:r>
      <w:r w:rsidR="004D1729">
        <w:t>6</w:t>
      </w:r>
      <w:r w:rsidR="00D9131B">
        <w:fldChar w:fldCharType="end"/>
      </w:r>
      <w:r w:rsidRPr="004F21E9">
        <w:t xml:space="preserve"> of this Annex B will be offset against any payments due in the next Billing Period’s invoice provided there are no outstanding payments due at that time (except formally disputed amounts pursuant to </w:t>
      </w:r>
      <w:r>
        <w:t xml:space="preserve">clause </w:t>
      </w:r>
      <w:r w:rsidR="00D9131B">
        <w:fldChar w:fldCharType="begin"/>
      </w:r>
      <w:r>
        <w:instrText xml:space="preserve"> REF _Ref331672965 \n \p \h  \* MERGEFORMAT </w:instrText>
      </w:r>
      <w:r w:rsidR="00D9131B">
        <w:fldChar w:fldCharType="separate"/>
      </w:r>
      <w:r w:rsidR="004D1729">
        <w:rPr>
          <w:cs/>
        </w:rPr>
        <w:t>‎</w:t>
      </w:r>
      <w:r w:rsidR="004D1729">
        <w:t>6 below</w:t>
      </w:r>
      <w:r w:rsidR="00D9131B">
        <w:fldChar w:fldCharType="end"/>
      </w:r>
      <w:r>
        <w:t>)</w:t>
      </w:r>
      <w:r w:rsidRPr="004F21E9">
        <w:t>.</w:t>
      </w:r>
    </w:p>
    <w:p w14:paraId="068EE6A8" w14:textId="7777F5D5" w:rsidR="0045506D" w:rsidRPr="00A637D8" w:rsidRDefault="00192A6C" w:rsidP="00911BC0">
      <w:pPr>
        <w:pStyle w:val="ListParagraph"/>
      </w:pPr>
      <w:r>
        <w:rPr>
          <w:szCs w:val="22"/>
          <w:u w:val="single"/>
        </w:rPr>
        <w:t xml:space="preserve"> </w:t>
      </w:r>
    </w:p>
    <w:p w14:paraId="153C660D" w14:textId="4E021AE4" w:rsidR="001C5CEB" w:rsidRPr="004F21E9" w:rsidRDefault="009842A6">
      <w:pPr>
        <w:pStyle w:val="ListParagraph"/>
      </w:pPr>
      <w:r w:rsidRPr="009842A6">
        <w:t xml:space="preserve">In </w:t>
      </w:r>
      <w:r w:rsidR="00911BC0" w:rsidRPr="00911BC0">
        <w:t>the event that a ‘Dispute’ resolution procedure has been initiated by the invoiced Party, as provided by this Agreement including Clause 6 below, and the dispute was incorrect and the Billing Party was not at fault, the Billed Party shall pay, in addition to the amount of the invoice, interest thereon at the rate of 0.03</w:t>
      </w:r>
      <w:r w:rsidR="00911BC0">
        <w:t>5</w:t>
      </w:r>
      <w:r w:rsidR="00911BC0" w:rsidRPr="00911BC0">
        <w:t>% per day from the Due Date until the date of payment in full of such invoice</w:t>
      </w:r>
      <w:r w:rsidR="00192A6C">
        <w:t xml:space="preserve"> </w:t>
      </w:r>
      <w:r w:rsidR="001C5CEB" w:rsidRPr="004F21E9">
        <w:t>No Party shall make any deductions, reductions or offsets in respect of any accounts, for any unpaid debts or unrecoverable claims, including but not limited to claims arising from cases of fraud, which that Party has against or with respect to its customers or Third Parties</w:t>
      </w:r>
      <w:r w:rsidR="001C5CEB">
        <w:t xml:space="preserve"> </w:t>
      </w:r>
      <w:r w:rsidR="001C5CEB" w:rsidRPr="0090337B">
        <w:t>unless specifically agreed between the Parties in writing</w:t>
      </w:r>
      <w:r w:rsidR="001C5CEB" w:rsidRPr="004F21E9">
        <w:t>.</w:t>
      </w:r>
    </w:p>
    <w:bookmarkEnd w:id="24"/>
    <w:p w14:paraId="4923ADC1" w14:textId="77777777" w:rsidR="001C5CEB" w:rsidRPr="004F21E9" w:rsidRDefault="001C5CEB" w:rsidP="001C5CEB">
      <w:pPr>
        <w:pStyle w:val="ListParagraph"/>
      </w:pPr>
      <w:r w:rsidRPr="004F21E9">
        <w:t xml:space="preserve">Settlement netting procedures shall not apply to this Agreement. Both Parties shall pay each other’s Invoices in full without deductions for any invoices issued </w:t>
      </w:r>
      <w:r w:rsidRPr="004F21E9">
        <w:rPr>
          <w:iCs/>
          <w:u w:val="single"/>
        </w:rPr>
        <w:t>by the other</w:t>
      </w:r>
      <w:r w:rsidRPr="004F21E9">
        <w:rPr>
          <w:i/>
          <w:u w:val="single"/>
        </w:rPr>
        <w:t xml:space="preserve"> </w:t>
      </w:r>
      <w:r w:rsidRPr="004F21E9">
        <w:t xml:space="preserve">except as expressly provided for in this Annex. </w:t>
      </w:r>
    </w:p>
    <w:p w14:paraId="78CDA551" w14:textId="77777777" w:rsidR="001C5CEB" w:rsidRDefault="001C5CEB" w:rsidP="001C5CEB">
      <w:pPr>
        <w:pStyle w:val="ListParagraph"/>
      </w:pPr>
      <w:r w:rsidRPr="004F21E9">
        <w:t xml:space="preserve">Payment costs of invoice amounts are borne by the </w:t>
      </w:r>
      <w:r w:rsidRPr="00DB5546">
        <w:rPr>
          <w:iCs/>
        </w:rPr>
        <w:t xml:space="preserve">Billed </w:t>
      </w:r>
      <w:r w:rsidRPr="004F21E9">
        <w:t xml:space="preserve">Party. </w:t>
      </w:r>
    </w:p>
    <w:p w14:paraId="044C1D53" w14:textId="77777777" w:rsidR="001C5CEB" w:rsidRDefault="001C5CEB" w:rsidP="001C5CEB">
      <w:pPr>
        <w:pStyle w:val="Heading1"/>
        <w:keepNext/>
        <w:keepLines/>
        <w:autoSpaceDE w:val="0"/>
        <w:autoSpaceDN w:val="0"/>
        <w:adjustRightInd w:val="0"/>
        <w:spacing w:before="240" w:line="360" w:lineRule="auto"/>
        <w:ind w:left="720" w:hanging="720"/>
        <w:jc w:val="both"/>
      </w:pPr>
      <w:bookmarkStart w:id="25" w:name="_Toc331672193"/>
      <w:bookmarkStart w:id="26" w:name="_Ref331672896"/>
      <w:bookmarkStart w:id="27" w:name="_Ref331672965"/>
      <w:bookmarkStart w:id="28" w:name="_Ref331673017"/>
      <w:bookmarkStart w:id="29" w:name="_Ref331837789"/>
      <w:bookmarkStart w:id="30" w:name="_Ref416256668"/>
      <w:bookmarkStart w:id="31" w:name="_Toc521161508"/>
      <w:r>
        <w:lastRenderedPageBreak/>
        <w:t>Disputes</w:t>
      </w:r>
      <w:bookmarkEnd w:id="25"/>
      <w:bookmarkEnd w:id="26"/>
      <w:bookmarkEnd w:id="27"/>
      <w:bookmarkEnd w:id="28"/>
      <w:bookmarkEnd w:id="29"/>
      <w:bookmarkEnd w:id="30"/>
      <w:bookmarkEnd w:id="31"/>
    </w:p>
    <w:p w14:paraId="770DA73B" w14:textId="77777777" w:rsidR="001C5CEB" w:rsidRPr="004F21E9" w:rsidRDefault="001C5CEB" w:rsidP="001C5CEB">
      <w:pPr>
        <w:pStyle w:val="ListParagraph"/>
      </w:pPr>
      <w:bookmarkStart w:id="32" w:name="_Ref65232373"/>
      <w:bookmarkStart w:id="33" w:name="_Toc424373859"/>
      <w:bookmarkStart w:id="34" w:name="_Toc474290083"/>
      <w:bookmarkStart w:id="35" w:name="_Ref474298322"/>
      <w:bookmarkStart w:id="36" w:name="_Toc474305614"/>
      <w:r w:rsidRPr="004F21E9">
        <w:t>If either Party disputes the amount stated in an invoice as being payable by it to the Billing Party, such Party (the Billed Party) shall no later than the Due Date for such invoice, deliver to the Billing Party a notice in writing containing the details of such dispute (“Notice of Dispute”) requesting further information or all of the Billing Information (including CDR Data) relating to that Billing Period’s disputed invoice.</w:t>
      </w:r>
    </w:p>
    <w:p w14:paraId="61D57778" w14:textId="77777777" w:rsidR="001C5CEB" w:rsidRPr="004F21E9" w:rsidRDefault="001C5CEB" w:rsidP="001C5CEB">
      <w:pPr>
        <w:pStyle w:val="ListParagraph"/>
      </w:pPr>
      <w:r w:rsidRPr="004F21E9">
        <w:t>Within seven (7) Working Days of receipt of the Notice of Dispute the Billing Party shall furnish the Billed Party with such Billing Information, CDR Data and other reasonable information as may be required by the Billed Party in order to verify the amount as being accurate and payable in the relevant invoice.</w:t>
      </w:r>
    </w:p>
    <w:p w14:paraId="55552C4E" w14:textId="77777777" w:rsidR="001C5CEB" w:rsidRPr="004F21E9" w:rsidRDefault="001C5CEB" w:rsidP="001C5CEB">
      <w:pPr>
        <w:pStyle w:val="ListParagraph"/>
      </w:pPr>
      <w:bookmarkStart w:id="37" w:name="_Ref89479050"/>
      <w:bookmarkStart w:id="38" w:name="_Ref89224724"/>
      <w:r w:rsidRPr="004F21E9">
        <w:t>The Parties shall then within a further ten (10) Working Days from the receipt of all requested Billing Information and other information reasonably requested meet and consult with each other in order to resolve the dispute in relation to the relevant invoice (the “Billing Dispute”).</w:t>
      </w:r>
      <w:bookmarkEnd w:id="37"/>
      <w:bookmarkEnd w:id="38"/>
    </w:p>
    <w:p w14:paraId="3F9193E3" w14:textId="1231BAFB" w:rsidR="001C5CEB" w:rsidRPr="004F21E9" w:rsidRDefault="001C5CEB" w:rsidP="00C1362F">
      <w:pPr>
        <w:pStyle w:val="ListParagraph"/>
      </w:pPr>
      <w:bookmarkStart w:id="39" w:name="_Ref89224782"/>
      <w:r w:rsidRPr="004F21E9">
        <w:t xml:space="preserve">The Parties shall use their reasonable endeavours to resolve the Billing Dispute within ten (10) Working Days of the date referred to in </w:t>
      </w:r>
      <w:r w:rsidR="00D9131B">
        <w:fldChar w:fldCharType="begin"/>
      </w:r>
      <w:r>
        <w:instrText xml:space="preserve"> REF _Ref89479050 \r \h  \* MERGEFORMAT </w:instrText>
      </w:r>
      <w:r w:rsidR="00D9131B">
        <w:fldChar w:fldCharType="separate"/>
      </w:r>
      <w:r w:rsidR="004D1729">
        <w:rPr>
          <w:cs/>
        </w:rPr>
        <w:t>‎</w:t>
      </w:r>
      <w:r w:rsidR="004D1729">
        <w:t>6.3</w:t>
      </w:r>
      <w:r w:rsidR="00D9131B">
        <w:fldChar w:fldCharType="end"/>
      </w:r>
      <w:r w:rsidRPr="004F21E9">
        <w:t xml:space="preserve"> above. </w:t>
      </w:r>
      <w:bookmarkEnd w:id="39"/>
      <w:r w:rsidRPr="004F21E9">
        <w:t xml:space="preserve">In the event that the Billing Dispute cannot be resolved with the time period in </w:t>
      </w:r>
      <w:r w:rsidR="00D9131B">
        <w:fldChar w:fldCharType="begin"/>
      </w:r>
      <w:r>
        <w:instrText xml:space="preserve"> REF _Ref89479050 \r \h  \* MERGEFORMAT </w:instrText>
      </w:r>
      <w:r w:rsidR="00D9131B">
        <w:fldChar w:fldCharType="separate"/>
      </w:r>
      <w:r w:rsidR="004D1729">
        <w:rPr>
          <w:cs/>
        </w:rPr>
        <w:t>‎</w:t>
      </w:r>
      <w:r w:rsidR="004D1729">
        <w:t>6.3</w:t>
      </w:r>
      <w:r w:rsidR="00D9131B">
        <w:fldChar w:fldCharType="end"/>
      </w:r>
      <w:r w:rsidRPr="004F21E9">
        <w:t xml:space="preserve"> above relating to the relevant invoice, then the Billing Dispute shall be referred to the Dispute resolution process </w:t>
      </w:r>
      <w:r w:rsidR="00C1362F">
        <w:t>in accordance to the A&amp;I regulation article 79-81.</w:t>
      </w:r>
    </w:p>
    <w:p w14:paraId="4EE3465A" w14:textId="394E4335" w:rsidR="001C5CEB" w:rsidRPr="004F21E9" w:rsidRDefault="001C5CEB" w:rsidP="001C5CEB">
      <w:pPr>
        <w:pStyle w:val="ListParagraph"/>
        <w:rPr>
          <w:rStyle w:val="NoHeading5Text"/>
          <w:iCs/>
          <w:szCs w:val="22"/>
        </w:rPr>
      </w:pPr>
      <w:r w:rsidRPr="004F21E9">
        <w:t xml:space="preserve">Unless otherwise agreed in writing between the Parties, in the event of a Billing Dispute in relation to an invoice which is resolved either by it being amicably settled between the Parties or in accordance with the other procedures referred herein interest in accordance with Clause </w:t>
      </w:r>
      <w:r w:rsidR="00D9131B">
        <w:fldChar w:fldCharType="begin"/>
      </w:r>
      <w:r>
        <w:instrText xml:space="preserve"> REF _Ref164406397 \r \h  \* MERGEFORMAT </w:instrText>
      </w:r>
      <w:r w:rsidR="00D9131B">
        <w:fldChar w:fldCharType="separate"/>
      </w:r>
      <w:r w:rsidR="004D1729">
        <w:rPr>
          <w:cs/>
        </w:rPr>
        <w:t>‎</w:t>
      </w:r>
      <w:r w:rsidR="004D1729">
        <w:t>5.1</w:t>
      </w:r>
      <w:r w:rsidR="00D9131B">
        <w:fldChar w:fldCharType="end"/>
      </w:r>
      <w:r w:rsidRPr="004F21E9">
        <w:t xml:space="preserve"> of this Annex B shall be payable on any amounts which are held to be payable by the Billed Party to the Billing Party in accordance with such Billing Dispute Resolution Procedure. </w:t>
      </w:r>
    </w:p>
    <w:p w14:paraId="000ED134" w14:textId="77777777" w:rsidR="001C5CEB" w:rsidRPr="004F21E9" w:rsidRDefault="001C5CEB" w:rsidP="001C5CEB">
      <w:pPr>
        <w:pStyle w:val="ListParagraph"/>
        <w:rPr>
          <w:iCs/>
        </w:rPr>
      </w:pPr>
      <w:bookmarkStart w:id="40" w:name="_Ref376350973"/>
      <w:r w:rsidRPr="004F21E9">
        <w:t>At all times, the Parties shall:</w:t>
      </w:r>
      <w:bookmarkEnd w:id="40"/>
      <w:r w:rsidRPr="004F21E9">
        <w:t xml:space="preserve"> </w:t>
      </w:r>
    </w:p>
    <w:p w14:paraId="537C5796" w14:textId="77777777" w:rsidR="001C5CEB" w:rsidRPr="00047CF7" w:rsidRDefault="001C5CEB" w:rsidP="008B0ED4">
      <w:pPr>
        <w:pStyle w:val="listParagrapha"/>
        <w:numPr>
          <w:ilvl w:val="0"/>
          <w:numId w:val="10"/>
        </w:numPr>
      </w:pPr>
      <w:r w:rsidRPr="00047CF7">
        <w:t xml:space="preserve">Act in good faith with </w:t>
      </w:r>
      <w:r w:rsidRPr="00047CF7">
        <w:rPr>
          <w:rStyle w:val="NoHeading5Text"/>
          <w:rFonts w:ascii="Helvetica" w:hAnsi="Helvetica"/>
          <w:sz w:val="22"/>
        </w:rPr>
        <w:t>respect</w:t>
      </w:r>
      <w:r w:rsidRPr="00047CF7">
        <w:t xml:space="preserve"> to any Notice of Dispute or Billing Dispute;</w:t>
      </w:r>
    </w:p>
    <w:p w14:paraId="6438E8F6" w14:textId="77777777" w:rsidR="001C5CEB" w:rsidRPr="00047CF7" w:rsidRDefault="001C5CEB" w:rsidP="00047CF7">
      <w:pPr>
        <w:pStyle w:val="listParagrapha"/>
      </w:pPr>
      <w:r w:rsidRPr="00047CF7">
        <w:lastRenderedPageBreak/>
        <w:t>Cooperate fully with each other in the exchange of relevant information with respect to any Billing Dispute;</w:t>
      </w:r>
    </w:p>
    <w:p w14:paraId="764E1A2D" w14:textId="77777777" w:rsidR="001C5CEB" w:rsidRPr="00047CF7" w:rsidRDefault="001C5CEB" w:rsidP="00F314C7">
      <w:pPr>
        <w:pStyle w:val="listParagrapha"/>
      </w:pPr>
      <w:r w:rsidRPr="00047CF7">
        <w:t xml:space="preserve">Cooperate fully with any independent third party consultant appointed to determine the dispute or in respect of any other dispute resolution process which may be undertaken pursuant to this </w:t>
      </w:r>
      <w:r w:rsidR="00F314C7">
        <w:t xml:space="preserve">Access an Interconnection </w:t>
      </w:r>
      <w:r w:rsidRPr="00047CF7">
        <w:t>Agreement;</w:t>
      </w:r>
    </w:p>
    <w:p w14:paraId="2D4F375F" w14:textId="77777777" w:rsidR="001C5CEB" w:rsidRPr="00047CF7" w:rsidRDefault="001C5CEB" w:rsidP="00047CF7">
      <w:pPr>
        <w:pStyle w:val="listParagrapha"/>
      </w:pPr>
      <w:r w:rsidRPr="00047CF7">
        <w:t xml:space="preserve">Pay their own costs arising out of and in the course of any Billing Dispute subject to any orders as to the payment of such costs which may be made by the TRA or any arbitrator appointed to determine the dispute; </w:t>
      </w:r>
    </w:p>
    <w:p w14:paraId="530BF746" w14:textId="77777777" w:rsidR="001C5CEB" w:rsidRPr="00047CF7" w:rsidRDefault="001C5CEB" w:rsidP="00047CF7">
      <w:pPr>
        <w:pStyle w:val="listParagrapha"/>
      </w:pPr>
      <w:r w:rsidRPr="00047CF7">
        <w:t>Comply fully with any agreement, order, decision or award which may be reached or made in respect of a Billing Dispute;</w:t>
      </w:r>
    </w:p>
    <w:p w14:paraId="0D1A2860" w14:textId="77777777" w:rsidR="001C5CEB" w:rsidRPr="00047CF7" w:rsidRDefault="001C5CEB" w:rsidP="00047CF7">
      <w:pPr>
        <w:pStyle w:val="listParagrapha"/>
      </w:pPr>
      <w:r w:rsidRPr="00047CF7">
        <w:t>Not withhold the payment of any amounts with respect to any invoice which are not in dispute beyond the Due Dates with respect to each such invoice;</w:t>
      </w:r>
    </w:p>
    <w:p w14:paraId="3F8BAC96" w14:textId="2E335B44" w:rsidR="001C5CEB" w:rsidRPr="00047CF7" w:rsidRDefault="001C5CEB" w:rsidP="000214D1">
      <w:pPr>
        <w:pStyle w:val="listParagrapha"/>
      </w:pPr>
      <w:r w:rsidRPr="00047CF7">
        <w:t xml:space="preserve">Pay interest at the rates set out in Clause </w:t>
      </w:r>
      <w:r w:rsidR="00D9131B" w:rsidRPr="00047CF7">
        <w:fldChar w:fldCharType="begin"/>
      </w:r>
      <w:r w:rsidRPr="00047CF7">
        <w:instrText xml:space="preserve"> REF _Ref164406397 \r \h  \* MERGEFORMAT </w:instrText>
      </w:r>
      <w:r w:rsidR="00D9131B" w:rsidRPr="00047CF7">
        <w:fldChar w:fldCharType="separate"/>
      </w:r>
      <w:r w:rsidR="004D1729">
        <w:rPr>
          <w:cs/>
        </w:rPr>
        <w:t>‎</w:t>
      </w:r>
      <w:r w:rsidR="004D1729">
        <w:t>5.1</w:t>
      </w:r>
      <w:r w:rsidR="00D9131B" w:rsidRPr="00047CF7">
        <w:fldChar w:fldCharType="end"/>
      </w:r>
      <w:r w:rsidRPr="00047CF7">
        <w:t xml:space="preserve"> of this Annex B of this Agreement upon all </w:t>
      </w:r>
      <w:r w:rsidR="00703772" w:rsidRPr="00A637D8">
        <w:t>disputed</w:t>
      </w:r>
      <w:r w:rsidR="00703772">
        <w:t xml:space="preserve"> </w:t>
      </w:r>
      <w:r w:rsidRPr="00047CF7">
        <w:t>amounts outstanding with respect to each invoice (whether such amounts are a part or whole of each such invoice)</w:t>
      </w:r>
      <w:r w:rsidR="000214D1">
        <w:t>,</w:t>
      </w:r>
      <w:r w:rsidR="000214D1" w:rsidRPr="000214D1">
        <w:t xml:space="preserve"> unless otherwise decided by the person making the relevant decision.</w:t>
      </w:r>
      <w:r w:rsidRPr="00047CF7">
        <w:t>; and</w:t>
      </w:r>
    </w:p>
    <w:p w14:paraId="0B3E0C6D" w14:textId="7D3D8A74" w:rsidR="00703772" w:rsidRDefault="00703772" w:rsidP="00C50F12">
      <w:pPr>
        <w:pStyle w:val="listParagrapha"/>
      </w:pPr>
      <w:r w:rsidRPr="00047CF7">
        <w:t xml:space="preserve">Pay interest at the rates set out in Clause </w:t>
      </w:r>
      <w:r w:rsidRPr="00047CF7">
        <w:fldChar w:fldCharType="begin"/>
      </w:r>
      <w:r w:rsidRPr="00047CF7">
        <w:instrText xml:space="preserve"> REF _Ref164406397 \r \h  \* MERGEFORMAT </w:instrText>
      </w:r>
      <w:r w:rsidRPr="00047CF7">
        <w:fldChar w:fldCharType="separate"/>
      </w:r>
      <w:r w:rsidR="004D1729">
        <w:rPr>
          <w:cs/>
        </w:rPr>
        <w:t>‎</w:t>
      </w:r>
      <w:r w:rsidR="004D1729">
        <w:t>5.1</w:t>
      </w:r>
      <w:r w:rsidRPr="00047CF7">
        <w:fldChar w:fldCharType="end"/>
      </w:r>
      <w:r w:rsidRPr="00047CF7">
        <w:t xml:space="preserve"> of this Annex B of this Agreement upon all </w:t>
      </w:r>
      <w:r>
        <w:t xml:space="preserve">disputed </w:t>
      </w:r>
      <w:r w:rsidRPr="00047CF7">
        <w:t xml:space="preserve">amounts </w:t>
      </w:r>
      <w:r>
        <w:t xml:space="preserve">that are resolved to be paid </w:t>
      </w:r>
      <w:r w:rsidRPr="00047CF7">
        <w:t xml:space="preserve">with </w:t>
      </w:r>
      <w:r w:rsidR="0021545E">
        <w:t xml:space="preserve">to the billing party with respect to </w:t>
      </w:r>
      <w:r w:rsidRPr="00047CF7">
        <w:t>each invoice (whether such amounts are a part or whole of each such invoice)</w:t>
      </w:r>
      <w:r w:rsidR="000214D1">
        <w:t xml:space="preserve">, </w:t>
      </w:r>
      <w:r w:rsidR="000214D1" w:rsidRPr="000214D1">
        <w:t>unless otherwise decided by the person making the relevant decision</w:t>
      </w:r>
      <w:r w:rsidR="000214D1">
        <w:t>.</w:t>
      </w:r>
    </w:p>
    <w:p w14:paraId="0DC4EAC4" w14:textId="77777777" w:rsidR="001C5CEB" w:rsidRPr="004F21E9" w:rsidRDefault="001C5CEB" w:rsidP="001C5CEB">
      <w:pPr>
        <w:pStyle w:val="ListParagraph"/>
      </w:pPr>
      <w:r w:rsidRPr="004F21E9">
        <w:t>In the event of the Billed Party disputing any amount stated in an invoice, the undisputed amount of such invoice shall nevertheless be payable by the Billed Party to the Billing Party by the Due Date.</w:t>
      </w:r>
    </w:p>
    <w:p w14:paraId="566F29F5" w14:textId="77777777" w:rsidR="001C5CEB" w:rsidRPr="004F21E9" w:rsidRDefault="001C5CEB" w:rsidP="001C5CEB">
      <w:pPr>
        <w:pStyle w:val="ListParagraph"/>
      </w:pPr>
      <w:bookmarkStart w:id="41" w:name="_Ref89660346"/>
      <w:r w:rsidRPr="004F21E9">
        <w:t>No Billing Dispute regarding the Usage Report shall exist where the difference between the amounts which the Billed Party believes is due under an invoice and the amount of an invoice delivered to the Billed Party is 0.5% or less.</w:t>
      </w:r>
      <w:bookmarkEnd w:id="41"/>
    </w:p>
    <w:p w14:paraId="79852B02" w14:textId="68940748" w:rsidR="001C5CEB" w:rsidRPr="00DB5546" w:rsidRDefault="001C5CEB" w:rsidP="00166C5A">
      <w:pPr>
        <w:pStyle w:val="ListParagraph"/>
      </w:pPr>
      <w:r w:rsidRPr="004F21E9">
        <w:t xml:space="preserve">Section </w:t>
      </w:r>
      <w:r w:rsidR="00D9131B">
        <w:fldChar w:fldCharType="begin"/>
      </w:r>
      <w:r>
        <w:instrText xml:space="preserve"> REF _Ref89660346 \r \h  \* MERGEFORMAT </w:instrText>
      </w:r>
      <w:r w:rsidR="00D9131B">
        <w:fldChar w:fldCharType="separate"/>
      </w:r>
      <w:r w:rsidR="004D1729">
        <w:rPr>
          <w:cs/>
        </w:rPr>
        <w:t>‎</w:t>
      </w:r>
      <w:r w:rsidR="004D1729">
        <w:t>6.8</w:t>
      </w:r>
      <w:r w:rsidR="00D9131B">
        <w:fldChar w:fldCharType="end"/>
      </w:r>
      <w:r w:rsidRPr="004F21E9">
        <w:t xml:space="preserve"> above shall not apply to Persistent Inconsistency Disputes or to disputed amounts in the General Report. </w:t>
      </w:r>
      <w:bookmarkEnd w:id="32"/>
      <w:bookmarkEnd w:id="33"/>
      <w:bookmarkEnd w:id="34"/>
      <w:bookmarkEnd w:id="35"/>
      <w:bookmarkEnd w:id="36"/>
    </w:p>
    <w:p w14:paraId="04CFE7BD" w14:textId="77777777" w:rsidR="005739C9" w:rsidRPr="005739C9" w:rsidRDefault="005739C9" w:rsidP="005739C9">
      <w:pPr>
        <w:pStyle w:val="Heading1"/>
      </w:pPr>
      <w:bookmarkStart w:id="42" w:name="_Toc331672194"/>
      <w:bookmarkStart w:id="43" w:name="_Ref331673173"/>
      <w:bookmarkStart w:id="44" w:name="_Toc521161509"/>
      <w:r w:rsidRPr="005739C9">
        <w:lastRenderedPageBreak/>
        <w:t>Persistent Inconsistency</w:t>
      </w:r>
      <w:bookmarkEnd w:id="42"/>
      <w:bookmarkEnd w:id="43"/>
      <w:bookmarkEnd w:id="44"/>
    </w:p>
    <w:p w14:paraId="36F9E273" w14:textId="7FBED985" w:rsidR="005739C9" w:rsidRPr="008B070B" w:rsidRDefault="005739C9" w:rsidP="005739C9">
      <w:pPr>
        <w:pStyle w:val="ListParagraph"/>
        <w:rPr>
          <w:iCs/>
        </w:rPr>
      </w:pPr>
      <w:r w:rsidRPr="008B070B">
        <w:t>Either Party may in the following circumstances, initiate the ‘Persistent Inconsistency Dispute’ procedure provided under this Section </w:t>
      </w:r>
      <w:r w:rsidR="00D058D4">
        <w:fldChar w:fldCharType="begin"/>
      </w:r>
      <w:r w:rsidR="00D058D4">
        <w:instrText xml:space="preserve"> REF _Ref331673173 \n \h  \* MERGEFORMAT </w:instrText>
      </w:r>
      <w:r w:rsidR="00D058D4">
        <w:fldChar w:fldCharType="separate"/>
      </w:r>
      <w:r w:rsidR="004D1729">
        <w:rPr>
          <w:cs/>
        </w:rPr>
        <w:t>‎</w:t>
      </w:r>
      <w:r w:rsidR="004D1729">
        <w:t>7</w:t>
      </w:r>
      <w:r w:rsidR="00D058D4">
        <w:fldChar w:fldCharType="end"/>
      </w:r>
      <w:r w:rsidRPr="008B070B">
        <w:t xml:space="preserve"> by sending a ‘Notice of Persistent Inconsistency Dispute’ to the other Party if:</w:t>
      </w:r>
      <w:r w:rsidRPr="008B070B">
        <w:rPr>
          <w:iCs/>
        </w:rPr>
        <w:t xml:space="preserve"> </w:t>
      </w:r>
    </w:p>
    <w:p w14:paraId="2B7136BC" w14:textId="77777777" w:rsidR="005739C9" w:rsidRPr="008B070B" w:rsidRDefault="005739C9" w:rsidP="005739C9">
      <w:pPr>
        <w:pStyle w:val="ListParagraph"/>
      </w:pPr>
      <w:r w:rsidRPr="008B070B">
        <w:t>More than 50% of Interconnection Services in any Interconnect</w:t>
      </w:r>
      <w:r w:rsidR="00DE4933">
        <w:t>ion</w:t>
      </w:r>
      <w:r w:rsidRPr="008B070B">
        <w:t xml:space="preserve"> Usage or Interconnect</w:t>
      </w:r>
      <w:r w:rsidR="00DE4933">
        <w:t>ion</w:t>
      </w:r>
      <w:r w:rsidRPr="008B070B">
        <w:t xml:space="preserve"> General Report have discrepancies of more than 0.5% in any one invoice or; </w:t>
      </w:r>
    </w:p>
    <w:p w14:paraId="314DA5C9" w14:textId="77777777" w:rsidR="005739C9" w:rsidRPr="008B070B" w:rsidRDefault="005739C9" w:rsidP="005739C9">
      <w:pPr>
        <w:pStyle w:val="ListParagraph"/>
      </w:pPr>
      <w:r w:rsidRPr="008B070B">
        <w:t>For at least three (3) Billing Periods’ invoices/reports out of the last seven (7) Billing Periods a pattern of consistent discrepancies occurs on one or more of the Interconnection Services in the Interconnect</w:t>
      </w:r>
      <w:r w:rsidR="00DE4933">
        <w:t>ion</w:t>
      </w:r>
      <w:r w:rsidRPr="008B070B">
        <w:t xml:space="preserve"> Usage or Interconnect</w:t>
      </w:r>
      <w:r w:rsidR="00DE4933">
        <w:t>ion</w:t>
      </w:r>
      <w:r w:rsidRPr="008B070B">
        <w:t xml:space="preserve"> General Reports</w:t>
      </w:r>
    </w:p>
    <w:p w14:paraId="0ADDE18C" w14:textId="020C3F5A" w:rsidR="005739C9" w:rsidRPr="008B070B" w:rsidRDefault="005739C9" w:rsidP="0061112C">
      <w:pPr>
        <w:pStyle w:val="ListParagraph"/>
      </w:pPr>
      <w:r w:rsidRPr="008B070B">
        <w:t xml:space="preserve">This type of Persistent Inconsistency Dispute’ cannot be initiated with respect to invoices dating back to more than </w:t>
      </w:r>
      <w:r w:rsidR="0061112C">
        <w:t xml:space="preserve">twelve (12) </w:t>
      </w:r>
      <w:r w:rsidRPr="008B070B">
        <w:t>months from the date of the Notice of Persistent Inconsistency Dispute.</w:t>
      </w:r>
    </w:p>
    <w:p w14:paraId="7D225CF2" w14:textId="71F76864" w:rsidR="005739C9" w:rsidRPr="008B070B" w:rsidRDefault="005739C9" w:rsidP="00581FA7">
      <w:pPr>
        <w:pStyle w:val="ListParagraph"/>
      </w:pPr>
      <w:r w:rsidRPr="008B070B">
        <w:t>In the event of a Persistent Inconsistency occurring the procedures referred to in Clause 6 of this Annex B shall apply as between the Parties save that where there is reference to a Billing Dispute in Clause</w:t>
      </w:r>
      <w:r w:rsidR="00581FA7">
        <w:t xml:space="preserve"> </w:t>
      </w:r>
      <w:r w:rsidR="00D9131B">
        <w:fldChar w:fldCharType="begin"/>
      </w:r>
      <w:r w:rsidR="00581FA7">
        <w:instrText xml:space="preserve"> REF _Ref416256668 \r \h </w:instrText>
      </w:r>
      <w:r w:rsidR="00D9131B">
        <w:fldChar w:fldCharType="separate"/>
      </w:r>
      <w:r w:rsidR="004D1729">
        <w:rPr>
          <w:cs/>
        </w:rPr>
        <w:t>‎</w:t>
      </w:r>
      <w:r w:rsidR="004D1729">
        <w:t>6</w:t>
      </w:r>
      <w:r w:rsidR="00D9131B">
        <w:fldChar w:fldCharType="end"/>
      </w:r>
      <w:r w:rsidRPr="008B070B">
        <w:t>, it shall be replaced with a reference to a “Persistent Inconsistency Dispute</w:t>
      </w:r>
      <w:r w:rsidR="00DE4933">
        <w:t>”.</w:t>
      </w:r>
      <w:r w:rsidRPr="008B070B">
        <w:t xml:space="preserve"> </w:t>
      </w:r>
    </w:p>
    <w:p w14:paraId="2A54ACBF" w14:textId="77777777" w:rsidR="005739C9" w:rsidRPr="008B070B" w:rsidRDefault="005739C9" w:rsidP="005739C9">
      <w:pPr>
        <w:pStyle w:val="ListParagraph"/>
      </w:pPr>
      <w:r w:rsidRPr="008B070B">
        <w:t>The occurrence and/or investigation of discrepancies as described in this Section shall not cause any delay in the normal procedure of accounting, billing, invoicing and payments as described in this Annex.</w:t>
      </w:r>
    </w:p>
    <w:p w14:paraId="0D73E68B" w14:textId="2005B364" w:rsidR="005739C9" w:rsidRPr="008B070B" w:rsidRDefault="005739C9" w:rsidP="004F72C1">
      <w:pPr>
        <w:pStyle w:val="ListParagraph"/>
      </w:pPr>
      <w:r w:rsidRPr="008B070B">
        <w:t xml:space="preserve">If the Parties cannot agree on the reasons for the discrepancies or the actions to take to eliminate the reasons for discrepancies or any other matter any of the Parties can invoke a dispute according to the ruling of </w:t>
      </w:r>
      <w:r w:rsidR="00316296">
        <w:t>Clause</w:t>
      </w:r>
      <w:r w:rsidRPr="008B070B">
        <w:t xml:space="preserve"> 1</w:t>
      </w:r>
      <w:r w:rsidR="004F72C1">
        <w:t>6</w:t>
      </w:r>
      <w:r w:rsidRPr="008B070B">
        <w:t xml:space="preserve"> in the Main Body to this Agreement.</w:t>
      </w:r>
    </w:p>
    <w:p w14:paraId="32601D17" w14:textId="77777777" w:rsidR="001C5CEB" w:rsidRPr="001C5CEB" w:rsidRDefault="001C5CEB" w:rsidP="001C5CEB"/>
    <w:p w14:paraId="2C48D6D8" w14:textId="77777777" w:rsidR="001C5CEB" w:rsidRPr="001C5CEB" w:rsidRDefault="001C5CEB" w:rsidP="001C5CEB"/>
    <w:sectPr w:rsidR="001C5CEB" w:rsidRPr="001C5CEB" w:rsidSect="00513A96">
      <w:headerReference w:type="even" r:id="rId14"/>
      <w:headerReference w:type="default" r:id="rId15"/>
      <w:footerReference w:type="default" r:id="rId16"/>
      <w:headerReference w:type="first" r:id="rId17"/>
      <w:footerReference w:type="first" r:id="rId18"/>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FED57" w14:textId="77777777" w:rsidR="00B11412" w:rsidRDefault="00B11412">
      <w:r>
        <w:separator/>
      </w:r>
    </w:p>
    <w:p w14:paraId="69F0D182" w14:textId="77777777" w:rsidR="00B11412" w:rsidRDefault="00B11412"/>
  </w:endnote>
  <w:endnote w:type="continuationSeparator" w:id="0">
    <w:p w14:paraId="2DDDE908" w14:textId="77777777" w:rsidR="00B11412" w:rsidRDefault="00B11412">
      <w:r>
        <w:continuationSeparator/>
      </w:r>
    </w:p>
    <w:p w14:paraId="3541B5A4" w14:textId="77777777" w:rsidR="00B11412" w:rsidRDefault="00B11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C6EA3" w14:textId="20FDD94E" w:rsidR="003F41F3" w:rsidRDefault="00BB775A">
    <w:pPr>
      <w:pStyle w:val="Footer"/>
    </w:pPr>
    <w:r>
      <w:rPr>
        <w:noProof/>
        <w:lang w:val="en-US"/>
      </w:rPr>
      <mc:AlternateContent>
        <mc:Choice Requires="wps">
          <w:drawing>
            <wp:anchor distT="0" distB="0" distL="114300" distR="114300" simplePos="0" relativeHeight="251664896" behindDoc="0" locked="0" layoutInCell="1" allowOverlap="1" wp14:anchorId="34B8CCA0" wp14:editId="562693B8">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65D7AD"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edQIAAMUEAAAOAAAAZHJzL2Uyb0RvYy54bWysVG1v0zAQ/o7Ef7D8vUvSNuuLlk5d1iKk&#10;ARODH+A6TmLh2ObsNh2I/87ZWUcHXxAiHyyffff4uefucnV97BQ5CHDS6IJmFyklQnNTSd0U9POn&#10;7WhOifNMV0wZLQr6KBy9Xr1+ddXbpRib1qhKAEEQ7Za9LWjrvV0mieOt6Ji7MFZovKwNdMyjCU1S&#10;AesRvVPJOE0vk95AZcFw4Rye3g6XdBXx61pw/6GunfBEFRS5+bhCXHdhTVZXbNkAs63kTzTYP7Do&#10;mNT46DPULfOM7EH+AdVJDsaZ2l9w0yWmriUXMQfMJkt/y+ahZVbEXFAcZ59lcv8Plr8/3AORVUHH&#10;lGjWYYk+omhMN0qQLMjTW7dErwd7DyFBZ+8M/+KINmWLXmINYPpWsApJRf/kRUAwHIaSXf/OVIjO&#10;9t5EpY41dAEQNSDHWJDH54KIoyccDyf5YjHPcko43i3SPM9ixRK2PEVbcP6NMB0Jm4ICco/o7HDn&#10;PLJH15NLZG+UrLZSqWhAsysVkAPD5tiUi82kDAljiDt3U5r0+Ho+DjwY9mitmMdtZ1E1p5v43osI&#10;93fAgdgtc+1AICIM/dhJj0OhZFfQeRq+4TiovNFVbFnPpBr2SFfpkI6I7T6kjdbR4zaeo5ixFb+v&#10;t3k6m07mo9ksn4ymE5GObubbcrQus8vL2eamvNlkP54kOMXHcoYKDp2wM9UjVhPMMEk4+bhpDXyj&#10;pMcpQkG+7hkIStRbjR2xyKbTMHbRmOazMRpwfrM7v2GaI1RBuQdKBqP0w7DuLcimxbeyKLc2a+yj&#10;WsYShx4beGHxgoGzEsv4NNdhGM/t6PXr77P6CQAA//8DAFBLAwQUAAYACAAAACEAGW+GcuMAAAAO&#10;AQAADwAAAGRycy9kb3ducmV2LnhtbEyPwW7CMBBE75X6D9Yi9QY2lEYhxEEVFeqpB0KlipuJlyQi&#10;Xke2Cenf15zKbXdnNPsm34ymYwM631qSMJ8JYEiV1S3VEr4Pu2kKzAdFWnWWUMIvetgUz0+5yrS9&#10;0R6HMtQshpDPlIQmhD7j3FcNGuVntkeK2tk6o0JcXc21U7cYbjq+ECLhRrUUPzSqx22D1aW8Ggku&#10;3R1c+/lF+235MZSL8/Hy0x6lfJmM72tgAcfwb4Y7fkSHIjKd7JW0Z52EZSpilyBh+ipWb8DuFrFM&#10;VsBO8TZP4sSLnD/WKP4AAAD//wMAUEsBAi0AFAAGAAgAAAAhALaDOJL+AAAA4QEAABMAAAAAAAAA&#10;AAAAAAAAAAAAAFtDb250ZW50X1R5cGVzXS54bWxQSwECLQAUAAYACAAAACEAOP0h/9YAAACUAQAA&#10;CwAAAAAAAAAAAAAAAAAvAQAAX3JlbHMvLnJlbHNQSwECLQAUAAYACAAAACEAGrhP3nUCAADFBAAA&#10;DgAAAAAAAAAAAAAAAAAuAgAAZHJzL2Uyb0RvYy54bWxQSwECLQAUAAYACAAAACEAGW+GcuMAAAAO&#10;AQAADwAAAAAAAAAAAAAAAADPBAAAZHJzL2Rvd25yZXYueG1sUEsFBgAAAAAEAAQA8wAAAN8FAAAA&#10;AA==&#10;" fillcolor="#ec9e3c" strokecolor="#ec9e3c"/>
          </w:pict>
        </mc:Fallback>
      </mc:AlternateContent>
    </w:r>
    <w:r w:rsidR="003F41F3">
      <w:rPr>
        <w:noProof/>
        <w:lang w:val="en-US"/>
      </w:rPr>
      <w:drawing>
        <wp:anchor distT="0" distB="0" distL="114300" distR="114300" simplePos="0" relativeHeight="251663872" behindDoc="0" locked="0" layoutInCell="1" allowOverlap="1" wp14:anchorId="308EF7AF" wp14:editId="77C0BB14">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lang w:val="en-US"/>
      </w:rPr>
      <mc:AlternateContent>
        <mc:Choice Requires="wps">
          <w:drawing>
            <wp:anchor distT="0" distB="0" distL="114300" distR="114300" simplePos="0" relativeHeight="251661824" behindDoc="0" locked="0" layoutInCell="1" allowOverlap="1" wp14:anchorId="37D5EB8C" wp14:editId="39C1D22A">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21DCAE"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ZBcgIAAMUEAAAOAAAAZHJzL2Uyb0RvYy54bWysVNuO0zAQfUfiHyy/d5O0TW9qumq7W4S0&#10;wIqFD3AdJ7FwbDN2my6If2fsdJcuvCBEHiyPPXN85sxMltenVpGjACeNLmh2lVIiNDel1HVBP3/a&#10;DWaUOM90yZTRoqCPwtHr1etXy84uxNA0RpUCCIJot+hsQRvv7SJJHG9Ey9yVsULjZWWgZR5NqJMS&#10;WIforUqGaTpJOgOlBcOFc3h601/SVcSvKsH9h6pywhNVUOTm4wpx3Yc1WS3ZogZmG8nPNNg/sGiZ&#10;1PjoM9QN84wcQP4B1UoOxpnKX3HTJqaqJBcxB8wmS3/L5qFhVsRcUBxnn2Vy/w+Wvz/eA5FlQceU&#10;aNZiiT6iaEzXSpAsyNNZt0CvB3sPIUFn7wz/4og22wa9xBrAdI1gJZKK/smLgGA4DCX77p0pEZ0d&#10;vIlKnSpoAyBqQE6xII/PBREnTzgezvNhnmLZOF5l2WgyyWPFErZ4irbg/BthWhI2BQXkHtHZ8c55&#10;ZI+uTy6RvVGy3EmlogH1fquAHFlojjTP55uQMIa4SzelSddTQSIMe7RSzOO2taia03V870WE+zvg&#10;QOyGuaYnEBH6fmylx6FQsi3oLA1ffxxUvtVlbFnPpOr3SFfpkI6I7d6njdbJ4zaeo5ixFb+vd3k6&#10;HY9mg+k0Hw3GI5EONrPddrDeZpPJ9Haz3dxmP84SPMXHcoYK9p2wN+UjVhNMP0k4+bhpDHyjpMMp&#10;QkG+HhgIStRbjR0xz8bjMHbRGOfTIRpwebO/vGGaI1RBuQdKemPr+2E9WJB1g29lUW5t1thHlYwl&#10;Dj3W88LiBQNnJZbxPNdhGC/t6PXr77P6CQAA//8DAFBLAwQUAAYACAAAACEAPNk/3eIAAAALAQAA&#10;DwAAAGRycy9kb3ducmV2LnhtbEyP0U7DMAxF35H4h8hIvExb2oG6UZpOCAFisAkofEDWeG1F41RN&#10;tpa/x3uCR9tH1+dmq9G24oi9bxwpiGcRCKTSmYYqBV+fj9MlCB80Gd06QgU/6GGVn59lOjVuoA88&#10;FqESHEI+1QrqELpUSl/WaLWfuQ6Jb3vXWx147Ctpej1wuG3lPIoSaXVD/KHWHd7XWH4XB6vg9cUt&#10;Hpphu3l/81Q8758m6y1OlLq8GO9uQQQcwx8MJ31Wh5yddu5AxotWwfUy4i5BwTROkhsQjCRXp9WO&#10;2XkMMs/k/w75LwAAAP//AwBQSwECLQAUAAYACAAAACEAtoM4kv4AAADhAQAAEwAAAAAAAAAAAAAA&#10;AAAAAAAAW0NvbnRlbnRfVHlwZXNdLnhtbFBLAQItABQABgAIAAAAIQA4/SH/1gAAAJQBAAALAAAA&#10;AAAAAAAAAAAAAC8BAABfcmVscy8ucmVsc1BLAQItABQABgAIAAAAIQDGnwZBcgIAAMUEAAAOAAAA&#10;AAAAAAAAAAAAAC4CAABkcnMvZTJvRG9jLnhtbFBLAQItABQABgAIAAAAIQA82T/d4gAAAAsBAAAP&#10;AAAAAAAAAAAAAAAAAMwEAABkcnMvZG93bnJldi54bWxQSwUGAAAAAAQABADzAAAA2wUAAAAA&#10;" fillcolor="#00559b" strokecolor="#00559b"/>
          </w:pict>
        </mc:Fallback>
      </mc:AlternateContent>
    </w:r>
    <w:r>
      <w:rPr>
        <w:noProof/>
        <w:lang w:val="en-US"/>
      </w:rPr>
      <mc:AlternateContent>
        <mc:Choice Requires="wps">
          <w:drawing>
            <wp:anchor distT="0" distB="0" distL="114300" distR="114300" simplePos="0" relativeHeight="251660800" behindDoc="0" locked="0" layoutInCell="1" allowOverlap="1" wp14:anchorId="24BA2850" wp14:editId="5E56A244">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C48385"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ubcwIAAMUEAAAOAAAAZHJzL2Uyb0RvYy54bWysVNuO0zAQfUfiHyy/d5M0zfaipqs22yKk&#10;BVYsfIDrOImFb9hu0wXx74yd7tKFF4Tog+Wxxydnzpzp8uYkBToy67hWJc6uUoyYorrmqi3x50+7&#10;0Qwj54mqidCKlfiROXyzev1q2ZsFG+tOi5pZBCDKLXpT4s57s0gSRzsmibvShim4bLSVxENo26S2&#10;pAd0KZJxml4nvba1sZoy5+D0drjEq4jfNIz6D03jmEeixMDNx9XGdR/WZLUki9YS03F6pkH+gYUk&#10;XMFHn6FuiSfoYPkfUJJTq51u/BXVMtFNwymLNUA1WfpbNQ8dMSzWAuI48yyT+3+w9P3x3iJelzjH&#10;SBEJLfoIohHVCoayIE9v3AKyHsy9DQU6c6fpF4eUrjrIYmtrdd8xUgOpmJ+8eBACB0/Rvn+na0An&#10;B6+jUqfGygAIGqBTbMjjc0PYySMKh3kxn8+yAiMKd3k+zWZFoJSQxdNrY51/w7REYVNiC9wjOjne&#10;OT+kPqVE9lrweseFiIFt95Ww6EjAHNtqvs2rM7q7TBMK9SWeF+PAg4BHG0E8bKUB1Zxq4/devHB/&#10;BxyI3RLXDQQiwuBHyT0MheCyxLM0/IbjoPJW1dGynnAx7EEMoUI5LNp9KBuik4dtPAcxoxW/r3dF&#10;Op3ks9F0WuSjSc7S0Wa2q0brKru+nm431Wab/ThL8PQ+tjN0cHDCXteP0E2rh0mCyYdNp+03jHqY&#10;IhDk64FYhpF4q8AR82wyCWMXg0kxHUNgL2/2lzdEUYAqMfUWoyGo/DCsB2N528G3sii30mvwUcNj&#10;i4PHBl5gjRDArESTnOc6DONlHLN+/fusfgIAAP//AwBQSwMEFAAGAAgAAAAhAMG7FZrfAAAACgEA&#10;AA8AAABkcnMvZG93bnJldi54bWxMj8FqwzAQRO+F/oPYQm+N1DQY17UcSkroqYc4gZKbYim2iLUy&#10;kuK4f9/NKTktwwyz88rl5Ho2mhCtRwmvMwHMYOO1xVbCbrt+yYHFpFCr3qOR8GciLKvHh1IV2l9w&#10;Y8Y6tYxKMBZKQpfSUHAem844FWd+MEje0QenEsnQch3Uhcpdz+dCZNwpi/ShU4NZdaY51WcnIeTr&#10;bbDfP7hZ1V9jPT/uT792L+Xz0/T5ASyZKd3CcJ1P06GiTQd/Rh1ZL2GRC2JJZLwRwjUgFtk7sIOE&#10;jC6vSn6PUP0DAAD//wMAUEsBAi0AFAAGAAgAAAAhALaDOJL+AAAA4QEAABMAAAAAAAAAAAAAAAAA&#10;AAAAAFtDb250ZW50X1R5cGVzXS54bWxQSwECLQAUAAYACAAAACEAOP0h/9YAAACUAQAACwAAAAAA&#10;AAAAAAAAAAAvAQAAX3JlbHMvLnJlbHNQSwECLQAUAAYACAAAACEAJRh7m3MCAADFBAAADgAAAAAA&#10;AAAAAAAAAAAuAgAAZHJzL2Uyb0RvYy54bWxQSwECLQAUAAYACAAAACEAwbsVmt8AAAAKAQAADwAA&#10;AAAAAAAAAAAAAADNBAAAZHJzL2Rvd25yZXYueG1sUEsFBgAAAAAEAAQA8wAAANkFAAAAAA==&#10;" fillcolor="#ec9e3c" strokecolor="#ec9e3c"/>
          </w:pict>
        </mc:Fallback>
      </mc:AlternateContent>
    </w:r>
    <w:r w:rsidR="003F41F3">
      <w:rPr>
        <w:noProof/>
        <w:lang w:val="en-US"/>
      </w:rPr>
      <w:drawing>
        <wp:inline distT="0" distB="0" distL="0" distR="0" wp14:anchorId="14A93F5C" wp14:editId="3BF06C09">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1EB7" w14:textId="77777777" w:rsidR="003F41F3" w:rsidRDefault="003F41F3" w:rsidP="0029357C">
    <w:pPr>
      <w:pStyle w:val="Footer"/>
    </w:pPr>
    <w:proofErr w:type="spellStart"/>
    <w:r w:rsidRPr="00251C02">
      <w:t>Belgacom</w:t>
    </w:r>
    <w:proofErr w:type="spellEnd"/>
    <w:r w:rsidRPr="00251C02">
      <w:t xml:space="preserve"> SA under public law, Bd. du </w:t>
    </w:r>
    <w:proofErr w:type="spellStart"/>
    <w:r w:rsidRPr="00251C02">
      <w:t>Roi</w:t>
    </w:r>
    <w:proofErr w:type="spellEnd"/>
    <w:r w:rsidRPr="00251C02">
      <w:t xml:space="preserve"> Albert II 27, B-1030 Brussels, </w:t>
    </w:r>
    <w:r>
      <w:t xml:space="preserve">Belgium, </w:t>
    </w:r>
    <w:r w:rsidRPr="00251C02">
      <w:t>VAT BE 0202.239.951, Brussels Register of Legal Entities, Giro 000-1710031-18</w:t>
    </w:r>
    <w:r>
      <w:br/>
    </w:r>
    <w:proofErr w:type="spellStart"/>
    <w:r>
      <w:t>Belgacom</w:t>
    </w:r>
    <w:proofErr w:type="spellEnd"/>
    <w:r>
      <w:t xml:space="preserve"> Group ISO certificates : www.belgacom.com</w:t>
    </w:r>
  </w:p>
  <w:p w14:paraId="7DEB3A41" w14:textId="77777777" w:rsidR="003F41F3" w:rsidRPr="0081597A" w:rsidRDefault="003F41F3"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C3778" w14:textId="0732D2B6" w:rsidR="003F41F3" w:rsidRDefault="003F41F3"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D9131B" w:rsidRPr="002A3A70">
      <w:rPr>
        <w:sz w:val="16"/>
        <w:szCs w:val="16"/>
      </w:rPr>
      <w:fldChar w:fldCharType="begin"/>
    </w:r>
    <w:r w:rsidRPr="002A3A70">
      <w:rPr>
        <w:sz w:val="16"/>
        <w:szCs w:val="16"/>
      </w:rPr>
      <w:instrText xml:space="preserve"> PAGE </w:instrText>
    </w:r>
    <w:r w:rsidR="00D9131B" w:rsidRPr="002A3A70">
      <w:rPr>
        <w:sz w:val="16"/>
        <w:szCs w:val="16"/>
      </w:rPr>
      <w:fldChar w:fldCharType="separate"/>
    </w:r>
    <w:r w:rsidR="00726BF8">
      <w:rPr>
        <w:noProof/>
        <w:sz w:val="16"/>
        <w:szCs w:val="16"/>
      </w:rPr>
      <w:t>16</w:t>
    </w:r>
    <w:r w:rsidR="00D9131B" w:rsidRPr="002A3A70">
      <w:rPr>
        <w:sz w:val="16"/>
        <w:szCs w:val="16"/>
      </w:rPr>
      <w:fldChar w:fldCharType="end"/>
    </w:r>
    <w:r w:rsidRPr="002A3A70">
      <w:rPr>
        <w:sz w:val="16"/>
        <w:szCs w:val="16"/>
      </w:rPr>
      <w:t xml:space="preserve"> of </w:t>
    </w:r>
    <w:r w:rsidR="00D9131B" w:rsidRPr="002A3A70">
      <w:rPr>
        <w:sz w:val="16"/>
        <w:szCs w:val="16"/>
      </w:rPr>
      <w:fldChar w:fldCharType="begin"/>
    </w:r>
    <w:r w:rsidRPr="002A3A70">
      <w:rPr>
        <w:sz w:val="16"/>
        <w:szCs w:val="16"/>
      </w:rPr>
      <w:instrText xml:space="preserve"> NUMPAGES </w:instrText>
    </w:r>
    <w:r w:rsidR="00D9131B" w:rsidRPr="002A3A70">
      <w:rPr>
        <w:sz w:val="16"/>
        <w:szCs w:val="16"/>
      </w:rPr>
      <w:fldChar w:fldCharType="separate"/>
    </w:r>
    <w:r w:rsidR="00726BF8">
      <w:rPr>
        <w:noProof/>
        <w:sz w:val="16"/>
        <w:szCs w:val="16"/>
      </w:rPr>
      <w:t>16</w:t>
    </w:r>
    <w:r w:rsidR="00D9131B" w:rsidRPr="002A3A70">
      <w:rPr>
        <w:sz w:val="16"/>
        <w:szCs w:val="16"/>
      </w:rPr>
      <w:fldChar w:fldCharType="end"/>
    </w:r>
  </w:p>
  <w:p w14:paraId="2468CBDD" w14:textId="77777777" w:rsidR="003F41F3" w:rsidRPr="002A3A70" w:rsidRDefault="003F41F3" w:rsidP="002A3A70">
    <w:pPr>
      <w:pStyle w:val="Footer"/>
      <w:tabs>
        <w:tab w:val="clear" w:pos="9700"/>
        <w:tab w:val="right" w:pos="10206"/>
      </w:tabs>
      <w:ind w:left="-993"/>
      <w:rPr>
        <w:sz w:val="16"/>
        <w:szCs w:val="16"/>
      </w:rPr>
    </w:pPr>
  </w:p>
  <w:p w14:paraId="6361ABE2" w14:textId="77777777" w:rsidR="003F41F3" w:rsidRDefault="003F41F3" w:rsidP="002A3A70">
    <w:pPr>
      <w:pStyle w:val="Footer"/>
      <w:ind w:left="-993"/>
    </w:pPr>
    <w:r>
      <w:rPr>
        <w:noProof/>
        <w:lang w:val="en-US"/>
      </w:rPr>
      <w:drawing>
        <wp:anchor distT="0" distB="0" distL="114300" distR="114300" simplePos="0" relativeHeight="251659776" behindDoc="1" locked="0" layoutInCell="1" allowOverlap="1" wp14:anchorId="465BFBC7" wp14:editId="51D6DEBA">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350BEBB2" w14:textId="77777777" w:rsidR="003F41F3" w:rsidRPr="001C7F23" w:rsidRDefault="003F41F3"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2F334" w14:textId="77777777" w:rsidR="003F41F3" w:rsidRDefault="003F41F3" w:rsidP="0029357C">
    <w:pPr>
      <w:pStyle w:val="Footer"/>
    </w:pPr>
    <w:r>
      <w:t xml:space="preserve">&lt;Customer Name&gt; &lt;Customer Project Title&gt; </w:t>
    </w:r>
  </w:p>
  <w:p w14:paraId="7708ED26" w14:textId="6942DB60" w:rsidR="003F41F3" w:rsidRDefault="003F41F3" w:rsidP="0029357C">
    <w:pPr>
      <w:pStyle w:val="Footer"/>
    </w:pPr>
    <w:proofErr w:type="spellStart"/>
    <w:r w:rsidRPr="00251C02">
      <w:t>Belgacom</w:t>
    </w:r>
    <w:proofErr w:type="spellEnd"/>
    <w:r w:rsidRPr="00251C02">
      <w:t xml:space="preserve"> SA under public law, Bd. du </w:t>
    </w:r>
    <w:proofErr w:type="spellStart"/>
    <w:r w:rsidRPr="00251C02">
      <w:t>Roi</w:t>
    </w:r>
    <w:proofErr w:type="spellEnd"/>
    <w:r w:rsidRPr="00251C02">
      <w:t xml:space="preserve"> Albert II 27, B-1030 Brussels, </w:t>
    </w:r>
    <w:r>
      <w:t xml:space="preserve">Belgium, </w:t>
    </w:r>
    <w:r w:rsidRPr="00251C02">
      <w:t>VAT BE 0202.239.951, Brussels Register of Legal Entities, Giro 000-1710031-18</w:t>
    </w:r>
    <w:r>
      <w:br/>
      <w:t xml:space="preserve">Enterprise Business Unit - Enterprise Solutions : </w:t>
    </w:r>
    <w:r w:rsidRPr="00833998">
      <w:t>ISO 9001</w:t>
    </w:r>
    <w:r>
      <w:t xml:space="preserve"> : 2000</w:t>
    </w:r>
    <w:r>
      <w:tab/>
    </w:r>
    <w:r>
      <w:tab/>
      <w:t xml:space="preserve">Page </w:t>
    </w:r>
    <w:r w:rsidR="00D9131B">
      <w:fldChar w:fldCharType="begin"/>
    </w:r>
    <w:r>
      <w:instrText xml:space="preserve"> PAGE </w:instrText>
    </w:r>
    <w:r w:rsidR="00D9131B">
      <w:fldChar w:fldCharType="separate"/>
    </w:r>
    <w:r>
      <w:rPr>
        <w:noProof/>
      </w:rPr>
      <w:t>3</w:t>
    </w:r>
    <w:r w:rsidR="00D9131B">
      <w:fldChar w:fldCharType="end"/>
    </w:r>
    <w:r>
      <w:t xml:space="preserve"> of </w:t>
    </w:r>
    <w:r w:rsidR="00D9131B">
      <w:fldChar w:fldCharType="begin"/>
    </w:r>
    <w:r>
      <w:instrText xml:space="preserve"> NUMPAGES </w:instrText>
    </w:r>
    <w:r w:rsidR="00D9131B">
      <w:fldChar w:fldCharType="separate"/>
    </w:r>
    <w:r w:rsidR="004D1729">
      <w:rPr>
        <w:noProof/>
      </w:rPr>
      <w:t>17</w:t>
    </w:r>
    <w:r w:rsidR="00D9131B">
      <w:fldChar w:fldCharType="end"/>
    </w:r>
  </w:p>
  <w:p w14:paraId="2C7ED426" w14:textId="77777777" w:rsidR="003F41F3" w:rsidRPr="0081597A" w:rsidRDefault="003F41F3" w:rsidP="0029357C">
    <w:pPr>
      <w:pStyle w:val="Footer"/>
    </w:pPr>
  </w:p>
  <w:p w14:paraId="189D8DB3" w14:textId="77777777" w:rsidR="003F41F3" w:rsidRDefault="003F41F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23B6C" w14:textId="77777777" w:rsidR="00B11412" w:rsidRDefault="00B11412">
      <w:r>
        <w:separator/>
      </w:r>
    </w:p>
    <w:p w14:paraId="0E6E6844" w14:textId="77777777" w:rsidR="00B11412" w:rsidRDefault="00B11412"/>
  </w:footnote>
  <w:footnote w:type="continuationSeparator" w:id="0">
    <w:p w14:paraId="4A5A93DD" w14:textId="77777777" w:rsidR="00B11412" w:rsidRDefault="00B11412">
      <w:r>
        <w:continuationSeparator/>
      </w:r>
    </w:p>
    <w:p w14:paraId="0FE75131" w14:textId="77777777" w:rsidR="00B11412" w:rsidRDefault="00B1141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F911E" w14:textId="77777777" w:rsidR="003F41F3" w:rsidRPr="00506286" w:rsidRDefault="003F41F3">
    <w:pPr>
      <w:rPr>
        <w:szCs w:val="18"/>
      </w:rPr>
    </w:pPr>
    <w:r>
      <w:rPr>
        <w:noProof/>
        <w:szCs w:val="18"/>
        <w:lang w:val="en-US"/>
      </w:rPr>
      <w:drawing>
        <wp:anchor distT="0" distB="0" distL="114300" distR="114300" simplePos="0" relativeHeight="251657728" behindDoc="1" locked="0" layoutInCell="1" allowOverlap="1" wp14:anchorId="116D7747" wp14:editId="2F85A8C0">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CB2DE" w14:textId="77777777" w:rsidR="003F41F3" w:rsidRDefault="003F41F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7B05F" w14:textId="77777777" w:rsidR="003F41F3" w:rsidRDefault="003F41F3">
    <w:pPr>
      <w:rPr>
        <w:sz w:val="16"/>
        <w:szCs w:val="16"/>
      </w:rPr>
    </w:pPr>
  </w:p>
  <w:p w14:paraId="3A95F917" w14:textId="77777777" w:rsidR="003F41F3" w:rsidRDefault="003F41F3" w:rsidP="00D261D9">
    <w:pPr>
      <w:rPr>
        <w:sz w:val="16"/>
        <w:szCs w:val="16"/>
      </w:rPr>
    </w:pPr>
    <w:r>
      <w:rPr>
        <w:noProof/>
        <w:sz w:val="16"/>
        <w:szCs w:val="16"/>
        <w:lang w:val="en-US"/>
      </w:rPr>
      <w:drawing>
        <wp:anchor distT="0" distB="0" distL="114300" distR="114300" simplePos="0" relativeHeight="251665920" behindDoc="0" locked="0" layoutInCell="1" allowOverlap="1" wp14:anchorId="35A78BF1" wp14:editId="77B06D3F">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 xml:space="preserve">Reference </w:t>
    </w:r>
    <w:r w:rsidR="00D261D9">
      <w:rPr>
        <w:sz w:val="16"/>
        <w:szCs w:val="16"/>
      </w:rPr>
      <w:t xml:space="preserve">Access and </w:t>
    </w:r>
    <w:r>
      <w:rPr>
        <w:sz w:val="16"/>
        <w:szCs w:val="16"/>
      </w:rPr>
      <w:t>Interconnect</w:t>
    </w:r>
    <w:r w:rsidR="00D261D9">
      <w:rPr>
        <w:sz w:val="16"/>
        <w:szCs w:val="16"/>
      </w:rPr>
      <w:t xml:space="preserve">ion </w:t>
    </w:r>
    <w:r>
      <w:rPr>
        <w:sz w:val="16"/>
        <w:szCs w:val="16"/>
      </w:rPr>
      <w:t>Offer</w:t>
    </w:r>
  </w:p>
  <w:p w14:paraId="2681B342" w14:textId="77777777" w:rsidR="003F41F3" w:rsidRPr="006808BE" w:rsidRDefault="003F41F3" w:rsidP="003F41F3">
    <w:pPr>
      <w:rPr>
        <w:szCs w:val="18"/>
      </w:rPr>
    </w:pPr>
    <w:r>
      <w:rPr>
        <w:sz w:val="16"/>
        <w:szCs w:val="16"/>
      </w:rPr>
      <w:t>Annex B _ Billing and Payment</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FD0D0" w14:textId="77777777" w:rsidR="003F41F3" w:rsidRPr="006808BE" w:rsidRDefault="003F41F3" w:rsidP="0029357C">
    <w:pPr>
      <w:rPr>
        <w:szCs w:val="18"/>
      </w:rPr>
    </w:pPr>
  </w:p>
  <w:p w14:paraId="258A7E7A" w14:textId="77777777" w:rsidR="003F41F3" w:rsidRPr="00506286" w:rsidRDefault="003F41F3" w:rsidP="0029357C"/>
  <w:p w14:paraId="4D22C9AA" w14:textId="77777777" w:rsidR="003F41F3" w:rsidRPr="00506286" w:rsidRDefault="003F41F3" w:rsidP="0029357C"/>
  <w:p w14:paraId="4A9F5334" w14:textId="77777777" w:rsidR="003F41F3" w:rsidRPr="00506286" w:rsidRDefault="003F41F3" w:rsidP="0029357C"/>
  <w:p w14:paraId="5D47C090" w14:textId="77777777" w:rsidR="003F41F3" w:rsidRPr="00506286" w:rsidRDefault="003F41F3" w:rsidP="0029357C"/>
  <w:p w14:paraId="24B349E1" w14:textId="77777777" w:rsidR="003F41F3" w:rsidRPr="00506286" w:rsidRDefault="003F41F3" w:rsidP="0029357C"/>
  <w:p w14:paraId="0D25EFFE" w14:textId="77777777" w:rsidR="003F41F3" w:rsidRPr="00506286" w:rsidRDefault="003F41F3" w:rsidP="0029357C"/>
  <w:p w14:paraId="0374A00B" w14:textId="77777777" w:rsidR="003F41F3" w:rsidRPr="00506286" w:rsidRDefault="003F41F3" w:rsidP="0029357C">
    <w:pPr>
      <w:rPr>
        <w:rStyle w:val="PageNumber"/>
      </w:rPr>
    </w:pPr>
  </w:p>
  <w:p w14:paraId="2C2C8563" w14:textId="77777777" w:rsidR="003F41F3" w:rsidRPr="00506286" w:rsidRDefault="003F41F3">
    <w:pPr>
      <w:rPr>
        <w:szCs w:val="18"/>
      </w:rPr>
    </w:pPr>
    <w:r>
      <w:rPr>
        <w:noProof/>
        <w:szCs w:val="18"/>
        <w:lang w:val="en-US"/>
      </w:rPr>
      <w:drawing>
        <wp:anchor distT="0" distB="0" distL="114300" distR="114300" simplePos="0" relativeHeight="251656704" behindDoc="1" locked="0" layoutInCell="1" allowOverlap="1" wp14:anchorId="3B2B72D1" wp14:editId="0CE08F53">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4305F411" w14:textId="77777777" w:rsidR="003F41F3" w:rsidRDefault="003F41F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3" w15:restartNumberingAfterBreak="0">
    <w:nsid w:val="29530B87"/>
    <w:multiLevelType w:val="multilevel"/>
    <w:tmpl w:val="D3F61A0C"/>
    <w:lvl w:ilvl="0">
      <w:start w:val="1"/>
      <w:numFmt w:val="lowerLetter"/>
      <w:pStyle w:val="listParagrapha"/>
      <w:lvlText w:val="(%1)"/>
      <w:lvlJc w:val="left"/>
      <w:pPr>
        <w:ind w:left="122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A171BD5"/>
    <w:multiLevelType w:val="multilevel"/>
    <w:tmpl w:val="4EF200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0DD7192"/>
    <w:multiLevelType w:val="multilevel"/>
    <w:tmpl w:val="3424CBDC"/>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7"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abstractNumId w:val="6"/>
  </w:num>
  <w:num w:numId="2">
    <w:abstractNumId w:val="4"/>
  </w:num>
  <w:num w:numId="3">
    <w:abstractNumId w:val="8"/>
  </w:num>
  <w:num w:numId="4">
    <w:abstractNumId w:val="1"/>
  </w:num>
  <w:num w:numId="5">
    <w:abstractNumId w:val="2"/>
  </w:num>
  <w:num w:numId="6">
    <w:abstractNumId w:val="0"/>
  </w:num>
  <w:num w:numId="7">
    <w:abstractNumId w:val="7"/>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6"/>
  </w:num>
  <w:num w:numId="1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A69"/>
    <w:rsid w:val="00011B03"/>
    <w:rsid w:val="0001305D"/>
    <w:rsid w:val="000209E2"/>
    <w:rsid w:val="000214D1"/>
    <w:rsid w:val="00047CF7"/>
    <w:rsid w:val="000751A7"/>
    <w:rsid w:val="000769CF"/>
    <w:rsid w:val="00091793"/>
    <w:rsid w:val="000A251E"/>
    <w:rsid w:val="000A5B38"/>
    <w:rsid w:val="000A6E58"/>
    <w:rsid w:val="000C584C"/>
    <w:rsid w:val="000D0671"/>
    <w:rsid w:val="000E2E90"/>
    <w:rsid w:val="00110BD4"/>
    <w:rsid w:val="00114743"/>
    <w:rsid w:val="00134134"/>
    <w:rsid w:val="00140FB4"/>
    <w:rsid w:val="00144294"/>
    <w:rsid w:val="00151794"/>
    <w:rsid w:val="00163A8E"/>
    <w:rsid w:val="00166C5A"/>
    <w:rsid w:val="00192A6C"/>
    <w:rsid w:val="001C5CEB"/>
    <w:rsid w:val="001F0453"/>
    <w:rsid w:val="001F5C26"/>
    <w:rsid w:val="00203416"/>
    <w:rsid w:val="0020528B"/>
    <w:rsid w:val="0021545E"/>
    <w:rsid w:val="00235480"/>
    <w:rsid w:val="00243418"/>
    <w:rsid w:val="00255BF4"/>
    <w:rsid w:val="0026124F"/>
    <w:rsid w:val="002626E7"/>
    <w:rsid w:val="00263724"/>
    <w:rsid w:val="0028711A"/>
    <w:rsid w:val="0029357C"/>
    <w:rsid w:val="00297128"/>
    <w:rsid w:val="002A3A70"/>
    <w:rsid w:val="002A4C89"/>
    <w:rsid w:val="002F236D"/>
    <w:rsid w:val="002F59F8"/>
    <w:rsid w:val="003072BB"/>
    <w:rsid w:val="00312B0F"/>
    <w:rsid w:val="00316296"/>
    <w:rsid w:val="0032438C"/>
    <w:rsid w:val="00325582"/>
    <w:rsid w:val="003311EF"/>
    <w:rsid w:val="00340CD0"/>
    <w:rsid w:val="0034323C"/>
    <w:rsid w:val="00345162"/>
    <w:rsid w:val="003926D8"/>
    <w:rsid w:val="003A3891"/>
    <w:rsid w:val="003B1EBE"/>
    <w:rsid w:val="003C4449"/>
    <w:rsid w:val="003E2AEF"/>
    <w:rsid w:val="003E5BD4"/>
    <w:rsid w:val="003F41F3"/>
    <w:rsid w:val="003F71C5"/>
    <w:rsid w:val="0040312B"/>
    <w:rsid w:val="00404C9D"/>
    <w:rsid w:val="00411C84"/>
    <w:rsid w:val="00441C8F"/>
    <w:rsid w:val="00447FD1"/>
    <w:rsid w:val="00453396"/>
    <w:rsid w:val="0045506D"/>
    <w:rsid w:val="00477B38"/>
    <w:rsid w:val="0048410F"/>
    <w:rsid w:val="0048647B"/>
    <w:rsid w:val="004A3A69"/>
    <w:rsid w:val="004D1729"/>
    <w:rsid w:val="004D3E81"/>
    <w:rsid w:val="004E1484"/>
    <w:rsid w:val="004E73FE"/>
    <w:rsid w:val="004F614F"/>
    <w:rsid w:val="004F72C1"/>
    <w:rsid w:val="00504283"/>
    <w:rsid w:val="005069FE"/>
    <w:rsid w:val="00507EF7"/>
    <w:rsid w:val="00510FD5"/>
    <w:rsid w:val="00513A96"/>
    <w:rsid w:val="0054394F"/>
    <w:rsid w:val="00543AD7"/>
    <w:rsid w:val="005739C9"/>
    <w:rsid w:val="00581097"/>
    <w:rsid w:val="00581FA7"/>
    <w:rsid w:val="0058333F"/>
    <w:rsid w:val="005A1696"/>
    <w:rsid w:val="005A184B"/>
    <w:rsid w:val="005A6991"/>
    <w:rsid w:val="005B567E"/>
    <w:rsid w:val="005C5D42"/>
    <w:rsid w:val="005D14BB"/>
    <w:rsid w:val="005D5749"/>
    <w:rsid w:val="005E42CC"/>
    <w:rsid w:val="005E59DB"/>
    <w:rsid w:val="005F297D"/>
    <w:rsid w:val="0061112C"/>
    <w:rsid w:val="00640185"/>
    <w:rsid w:val="0064689C"/>
    <w:rsid w:val="00653575"/>
    <w:rsid w:val="0066499B"/>
    <w:rsid w:val="00664FA6"/>
    <w:rsid w:val="00670F62"/>
    <w:rsid w:val="006846E9"/>
    <w:rsid w:val="00684CA4"/>
    <w:rsid w:val="00690B95"/>
    <w:rsid w:val="00693629"/>
    <w:rsid w:val="00696BAA"/>
    <w:rsid w:val="006A0F00"/>
    <w:rsid w:val="006A557D"/>
    <w:rsid w:val="006D5265"/>
    <w:rsid w:val="006F2926"/>
    <w:rsid w:val="00703772"/>
    <w:rsid w:val="007121DF"/>
    <w:rsid w:val="00713F36"/>
    <w:rsid w:val="007201EE"/>
    <w:rsid w:val="00721881"/>
    <w:rsid w:val="00722EAD"/>
    <w:rsid w:val="00725183"/>
    <w:rsid w:val="00726BF8"/>
    <w:rsid w:val="00731B18"/>
    <w:rsid w:val="007331CC"/>
    <w:rsid w:val="0074771A"/>
    <w:rsid w:val="00751D51"/>
    <w:rsid w:val="00761CEB"/>
    <w:rsid w:val="007630AA"/>
    <w:rsid w:val="00766819"/>
    <w:rsid w:val="00786462"/>
    <w:rsid w:val="0078775E"/>
    <w:rsid w:val="007B3E4C"/>
    <w:rsid w:val="007D18D3"/>
    <w:rsid w:val="00811ACB"/>
    <w:rsid w:val="00820520"/>
    <w:rsid w:val="00822BA3"/>
    <w:rsid w:val="00832C79"/>
    <w:rsid w:val="008439F9"/>
    <w:rsid w:val="008648E3"/>
    <w:rsid w:val="00870B83"/>
    <w:rsid w:val="00877BE7"/>
    <w:rsid w:val="00882F8A"/>
    <w:rsid w:val="008A0C16"/>
    <w:rsid w:val="008B0ED4"/>
    <w:rsid w:val="008B7974"/>
    <w:rsid w:val="008D4BEC"/>
    <w:rsid w:val="008D552B"/>
    <w:rsid w:val="008E4B60"/>
    <w:rsid w:val="009034E1"/>
    <w:rsid w:val="00905A88"/>
    <w:rsid w:val="00911BC0"/>
    <w:rsid w:val="00925E14"/>
    <w:rsid w:val="00927CE6"/>
    <w:rsid w:val="00940910"/>
    <w:rsid w:val="009422BA"/>
    <w:rsid w:val="0095392C"/>
    <w:rsid w:val="00956700"/>
    <w:rsid w:val="009677BF"/>
    <w:rsid w:val="00967A7E"/>
    <w:rsid w:val="00973BA8"/>
    <w:rsid w:val="009842A6"/>
    <w:rsid w:val="0098446D"/>
    <w:rsid w:val="00984832"/>
    <w:rsid w:val="0098721F"/>
    <w:rsid w:val="00992492"/>
    <w:rsid w:val="009B2585"/>
    <w:rsid w:val="009B661B"/>
    <w:rsid w:val="009E7642"/>
    <w:rsid w:val="009F107B"/>
    <w:rsid w:val="00A12895"/>
    <w:rsid w:val="00A20B03"/>
    <w:rsid w:val="00A24CE9"/>
    <w:rsid w:val="00A34748"/>
    <w:rsid w:val="00A56DC9"/>
    <w:rsid w:val="00A637D8"/>
    <w:rsid w:val="00A672B4"/>
    <w:rsid w:val="00A77C31"/>
    <w:rsid w:val="00A9143E"/>
    <w:rsid w:val="00A91C9C"/>
    <w:rsid w:val="00A9296D"/>
    <w:rsid w:val="00A9350F"/>
    <w:rsid w:val="00A97A0B"/>
    <w:rsid w:val="00AB1D68"/>
    <w:rsid w:val="00AB48EB"/>
    <w:rsid w:val="00AD66DE"/>
    <w:rsid w:val="00AF60FF"/>
    <w:rsid w:val="00B04545"/>
    <w:rsid w:val="00B06EC6"/>
    <w:rsid w:val="00B0717F"/>
    <w:rsid w:val="00B11412"/>
    <w:rsid w:val="00B144B3"/>
    <w:rsid w:val="00B146DA"/>
    <w:rsid w:val="00B22ABB"/>
    <w:rsid w:val="00B24F05"/>
    <w:rsid w:val="00B25965"/>
    <w:rsid w:val="00B30272"/>
    <w:rsid w:val="00B31169"/>
    <w:rsid w:val="00B46F53"/>
    <w:rsid w:val="00B6107A"/>
    <w:rsid w:val="00B73F99"/>
    <w:rsid w:val="00B83261"/>
    <w:rsid w:val="00B94D42"/>
    <w:rsid w:val="00B96916"/>
    <w:rsid w:val="00BA1F5C"/>
    <w:rsid w:val="00BB42D9"/>
    <w:rsid w:val="00BB775A"/>
    <w:rsid w:val="00BD194E"/>
    <w:rsid w:val="00BE19C1"/>
    <w:rsid w:val="00BE6F38"/>
    <w:rsid w:val="00BF435C"/>
    <w:rsid w:val="00C1362F"/>
    <w:rsid w:val="00C205A5"/>
    <w:rsid w:val="00C40468"/>
    <w:rsid w:val="00C50F12"/>
    <w:rsid w:val="00C55A42"/>
    <w:rsid w:val="00C64CA1"/>
    <w:rsid w:val="00C72CD5"/>
    <w:rsid w:val="00CA269A"/>
    <w:rsid w:val="00CB1E0C"/>
    <w:rsid w:val="00CC65AD"/>
    <w:rsid w:val="00D03410"/>
    <w:rsid w:val="00D058D4"/>
    <w:rsid w:val="00D15482"/>
    <w:rsid w:val="00D261D9"/>
    <w:rsid w:val="00D32813"/>
    <w:rsid w:val="00D52799"/>
    <w:rsid w:val="00D64F3D"/>
    <w:rsid w:val="00D777BA"/>
    <w:rsid w:val="00D84159"/>
    <w:rsid w:val="00D9131B"/>
    <w:rsid w:val="00D91928"/>
    <w:rsid w:val="00DB062D"/>
    <w:rsid w:val="00DB4B4B"/>
    <w:rsid w:val="00DD0271"/>
    <w:rsid w:val="00DE4933"/>
    <w:rsid w:val="00DF09F1"/>
    <w:rsid w:val="00E0591C"/>
    <w:rsid w:val="00E11F17"/>
    <w:rsid w:val="00E20672"/>
    <w:rsid w:val="00E31158"/>
    <w:rsid w:val="00E33973"/>
    <w:rsid w:val="00E658D3"/>
    <w:rsid w:val="00E71655"/>
    <w:rsid w:val="00E76C82"/>
    <w:rsid w:val="00E8470D"/>
    <w:rsid w:val="00E9052A"/>
    <w:rsid w:val="00EB3E25"/>
    <w:rsid w:val="00EC463D"/>
    <w:rsid w:val="00ED0E75"/>
    <w:rsid w:val="00ED6164"/>
    <w:rsid w:val="00EE2AD4"/>
    <w:rsid w:val="00EE430D"/>
    <w:rsid w:val="00EE5A4D"/>
    <w:rsid w:val="00EF1857"/>
    <w:rsid w:val="00F02585"/>
    <w:rsid w:val="00F06FED"/>
    <w:rsid w:val="00F10994"/>
    <w:rsid w:val="00F13DBC"/>
    <w:rsid w:val="00F2549C"/>
    <w:rsid w:val="00F314C7"/>
    <w:rsid w:val="00F35B36"/>
    <w:rsid w:val="00FA67D2"/>
    <w:rsid w:val="00FB064D"/>
    <w:rsid w:val="00FB4D6E"/>
    <w:rsid w:val="00FB7DDA"/>
    <w:rsid w:val="00FE1DA5"/>
    <w:rsid w:val="00FE7C66"/>
    <w:rsid w:val="00FE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ec9e3c,#00559b"/>
    </o:shapedefaults>
    <o:shapelayout v:ext="edit">
      <o:idmap v:ext="edit" data="1"/>
    </o:shapelayout>
  </w:shapeDefaults>
  <w:decimalSymbol w:val="."/>
  <w:listSeparator w:val=","/>
  <w14:docId w14:val="070E7E80"/>
  <w15:docId w15:val="{28C45B95-34DB-4A76-A984-6C15E1BC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F62"/>
    <w:pPr>
      <w:spacing w:after="240" w:line="240" w:lineRule="atLeast"/>
    </w:pPr>
    <w:rPr>
      <w:rFonts w:ascii="Helvetica" w:hAnsi="Helvetica"/>
      <w:szCs w:val="24"/>
      <w:lang w:val="en-GB"/>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761CEB"/>
    <w:pPr>
      <w:pageBreakBefore/>
      <w:numPr>
        <w:numId w:val="1"/>
      </w:numPr>
      <w:tabs>
        <w:tab w:val="clear" w:pos="864"/>
      </w:tabs>
      <w:spacing w:before="600" w:line="240" w:lineRule="auto"/>
      <w:outlineLvl w:val="0"/>
    </w:pPr>
    <w:rPr>
      <w:rFonts w:eastAsia="Times"/>
      <w:color w:val="4A93D1"/>
      <w:kern w:val="32"/>
      <w:sz w:val="40"/>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rPr>
      <w:sz w:val="32"/>
    </w:r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lang w:val="en-US"/>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5C5D42"/>
    <w:pPr>
      <w:numPr>
        <w:ilvl w:val="1"/>
        <w:numId w:val="1"/>
      </w:numPr>
      <w:spacing w:before="120" w:after="12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5C5D42"/>
    <w:rPr>
      <w:rFonts w:ascii="Helvetica" w:hAnsi="Helvetica" w:cs="Arial"/>
      <w:kern w:val="16"/>
      <w:sz w:val="22"/>
      <w:szCs w:val="24"/>
      <w:lang w:val="en-GB"/>
    </w:rPr>
  </w:style>
  <w:style w:type="character" w:customStyle="1" w:styleId="ListParagraph2Char">
    <w:name w:val="List Paragraph2 Char"/>
    <w:basedOn w:val="ListParagraphChar"/>
    <w:link w:val="ListParagraph2"/>
    <w:rsid w:val="00D32813"/>
    <w:rPr>
      <w:rFonts w:ascii="Helvetica" w:hAnsi="Helvetica" w:cs="Arial"/>
      <w:kern w:val="16"/>
      <w:sz w:val="22"/>
      <w:szCs w:val="24"/>
      <w:lang w:val="en-GB"/>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lang w:val="en-GB"/>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lang w:val="en-US"/>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047CF7"/>
    <w:pPr>
      <w:numPr>
        <w:numId w:val="8"/>
      </w:numPr>
      <w:spacing w:before="120" w:after="120" w:line="360" w:lineRule="auto"/>
    </w:pPr>
    <w:rPr>
      <w:sz w:val="22"/>
      <w:szCs w:val="22"/>
    </w:rPr>
  </w:style>
  <w:style w:type="character" w:customStyle="1" w:styleId="listParagraphaChar">
    <w:name w:val="list Paragraph (a) Char"/>
    <w:basedOn w:val="DefaultParagraphFont"/>
    <w:link w:val="listParagrapha"/>
    <w:rsid w:val="00047CF7"/>
    <w:rPr>
      <w:rFonts w:ascii="Helvetica" w:hAnsi="Helvetica"/>
      <w:sz w:val="22"/>
      <w:szCs w:val="22"/>
      <w:lang w:val="en-GB"/>
    </w:rPr>
  </w:style>
  <w:style w:type="character" w:styleId="CommentReference">
    <w:name w:val="annotation reference"/>
    <w:basedOn w:val="DefaultParagraphFont"/>
    <w:semiHidden/>
    <w:unhideWhenUsed/>
    <w:rsid w:val="00243418"/>
    <w:rPr>
      <w:sz w:val="16"/>
      <w:szCs w:val="16"/>
    </w:rPr>
  </w:style>
  <w:style w:type="paragraph" w:styleId="CommentText">
    <w:name w:val="annotation text"/>
    <w:basedOn w:val="Normal"/>
    <w:link w:val="CommentTextChar"/>
    <w:semiHidden/>
    <w:unhideWhenUsed/>
    <w:rsid w:val="00243418"/>
    <w:pPr>
      <w:spacing w:line="240" w:lineRule="auto"/>
    </w:pPr>
    <w:rPr>
      <w:szCs w:val="20"/>
    </w:rPr>
  </w:style>
  <w:style w:type="character" w:customStyle="1" w:styleId="CommentTextChar">
    <w:name w:val="Comment Text Char"/>
    <w:basedOn w:val="DefaultParagraphFont"/>
    <w:link w:val="CommentText"/>
    <w:semiHidden/>
    <w:rsid w:val="00243418"/>
    <w:rPr>
      <w:rFonts w:ascii="Helvetica" w:hAnsi="Helvetica"/>
      <w:lang w:val="en-GB"/>
    </w:rPr>
  </w:style>
  <w:style w:type="paragraph" w:styleId="CommentSubject">
    <w:name w:val="annotation subject"/>
    <w:basedOn w:val="CommentText"/>
    <w:next w:val="CommentText"/>
    <w:link w:val="CommentSubjectChar"/>
    <w:semiHidden/>
    <w:unhideWhenUsed/>
    <w:rsid w:val="00243418"/>
    <w:rPr>
      <w:b/>
      <w:bCs/>
    </w:rPr>
  </w:style>
  <w:style w:type="character" w:customStyle="1" w:styleId="CommentSubjectChar">
    <w:name w:val="Comment Subject Char"/>
    <w:basedOn w:val="CommentTextChar"/>
    <w:link w:val="CommentSubject"/>
    <w:semiHidden/>
    <w:rsid w:val="00243418"/>
    <w:rPr>
      <w:rFonts w:ascii="Helvetica" w:hAnsi="Helvetica"/>
      <w:b/>
      <w:bCs/>
      <w:lang w:val="en-GB"/>
    </w:rPr>
  </w:style>
  <w:style w:type="paragraph" w:styleId="Revision">
    <w:name w:val="Revision"/>
    <w:hidden/>
    <w:uiPriority w:val="71"/>
    <w:semiHidden/>
    <w:rsid w:val="009F107B"/>
    <w:rPr>
      <w:rFonts w:ascii="Helvetica" w:hAnsi="Helvetica"/>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4.xml><?xml version="1.0" encoding="utf-8"?>
<ds:datastoreItem xmlns:ds="http://schemas.openxmlformats.org/officeDocument/2006/customXml" ds:itemID="{F9516F32-3514-4414-9838-69BA9EFED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 - 2014</Template>
  <TotalTime>72</TotalTime>
  <Pages>16</Pages>
  <Words>3374</Words>
  <Characters>19234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Letter Logo</vt:lpstr>
    </vt:vector>
  </TitlesOfParts>
  <Company/>
  <LinksUpToDate>false</LinksUpToDate>
  <CharactersWithSpaces>22563</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Logo</dc:title>
  <dc:subject/>
  <dc:creator>Mohamed Mustafa Ahmed Al Lawati</dc:creator>
  <cp:lastModifiedBy>Vasim Khan</cp:lastModifiedBy>
  <cp:revision>37</cp:revision>
  <cp:lastPrinted>2018-08-04T11:56:00Z</cp:lastPrinted>
  <dcterms:created xsi:type="dcterms:W3CDTF">2018-02-21T08:05:00Z</dcterms:created>
  <dcterms:modified xsi:type="dcterms:W3CDTF">2018-09-17T11:09:00Z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